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65.4 vom 12. September 2000</w:t>
      </w:r>
    </w:p>
    <w:p>
      <w:r>
        <w:t>Bundesverwaltung, 2000-09-12, DE</w:t>
      </w:r>
    </w:p>
    <w:p>
      <w:r>
        <w:rPr>
          <w:b/>
        </w:rPr>
        <w:t xml:space="preserve">Quelle: </w:t>
      </w:r>
      <w:r>
        <w:t>https://mcp.opencaselaw.ch/entscheid/ch_vb_JAAC_65.4__</w:t>
      </w:r>
    </w:p>
    <w:p>
      <w:r>
        <w:t>FR: CH_VB JAAC 65.4 du 12 septembre 2000</w:t>
      </w:r>
    </w:p>
    <w:p>
      <w:r>
        <w:t>IT: CH_VB JAAC 65.4 del 12 settembre 2000</w:t>
      </w:r>
    </w:p>
    <w:p>
      <w:pPr>
        <w:pStyle w:val="Heading2"/>
      </w:pPr>
      <w:r>
        <w:t>Erwägungen</w:t>
      </w:r>
    </w:p>
    <w:p>
      <w:r>
        <w:rPr>
          <w:b/>
        </w:rPr>
        <w:t>E. 1</w:t>
      </w:r>
    </w:p>
    <w:p>
      <w:r>
        <w:t>Pour déterminer l’âge réel d’une personne, on ne peut tirer de conclusions fiables de la radiographie des os de la main, l’âge osseux pouvant varier d’un individu à l’autre notamment en fonction de sa race ou de son sexe (consid. 7).</w:t>
      </w:r>
    </w:p>
    <w:p>
      <w:r>
        <w:rPr>
          <w:b/>
        </w:rPr>
        <w:t>E. 2</w:t>
      </w:r>
    </w:p>
    <w:p>
      <w:r>
        <w:t>Un écart de deux ans et demi à trois ans entre l’âge réel et l’âge osseux peut être admis comme entrant dans la norme (consid. 7c).</w:t>
      </w:r>
    </w:p>
    <w:p>
      <w:r>
        <w:rPr>
          <w:b/>
        </w:rPr>
        <w:t>E. 3</w:t>
      </w:r>
    </w:p>
    <w:p>
      <w:r>
        <w:t>En vertu de l’art. 32 al. 2 let. b de la loi sur l’asile du 26 juin 1998 (LAsi, RS 142.31), l’ODR n’entre pas en matière sur la demande d’asile d’un requérant qui a trompé les autorités sur son identité, le dol étant constaté sur la base de l’examen dactyloscopique (relevé des empreintes digitales et photographie) ou d’autres moyens de preuve. Par autres moyens de preuve, on entend des témoignages ou d’autres moyens de preuve objectifs (Message du Conseil fédéral concernant la révision totale de la loi sur l’asile du 4 décembre 1995, p. 56), comme par exemple les rapports des services Lingua (cf. à ce sujet JAAC 64.89 et Message du Conseil fédéral relatif à l’arrêté fédéral du 26 juin 1998 sur les mesures d’urgence dans le domaine de l’asile et des étrangers [AMU], du 13 mai 1998, FF 1998 III 2835). Historiquement, l’art. 32 al. 2 let. b est entré en vigueur sous la forme de l’art. 16 al. 1 let. b LAsi le 1er juillet 1998, soit plus d’une année avant la nouvelle loi. Dans le message qui présentait cette réglementation en 1998, il était précisé que la tromperie au sens de cette disposition devait porter sur l’identité, laquelle comprend, outre le nom, le prénom et la date de naissance, la ou les nationalités, voire l’origine de l’intéressé (cf. Message du Conseil fédéral relatif à l’AMU du 13 mai 1998, FF 1998 III 2835). La date de naissance apparaît donc incontestablement comme un élément constitutif de l’identité. Or, ce qui est litigieux dans le cas d’espèce, c’est précisément la date de naissance effective du recourant, soit son âge chronologique.</w:t>
      </w:r>
    </w:p>
    <w:p>
      <w:r>
        <w:rPr>
          <w:b/>
        </w:rPr>
        <w:t>E. 4</w:t>
      </w:r>
    </w:p>
    <w:p>
      <w:r>
        <w:t>Selon l’ODR, une radiographie de la main gauche d’un requérant autoriserait des conclusions fiables en relation avec l’âge chronologique. En d’autres termes, il existerait un lien de connexité entre l’âge osseux révélé par le cliché radiographique et l’âge chronologique. C’est de l’existence éventuelle d’un tel lien qu’il sera question principalement dans les développements qui suivent. Si un tel lien devait en effet pouvoir être établi, l’âge osseux constaté sur la base de l’examen osseux permettrait de conclure à la tromperie éventuelle d’un requérant eu égard à sa date de naissance alléguée. 3</w:t>
      </w:r>
    </w:p>
    <w:p>
      <w:r>
        <w:t>Ainsi, la question qui se pose est donc avant tout d’ordre médical. Compte tenu de cette particularité, la Commission a été amenée à procéder à plusieurs mesures d’instruction auprès de spécialistes reconnus dans les domaines de la radiologie et de l’endocrinologie en Suisse. […] Leurs déterminations seront reprises ci-après. Elle s’est également enquise de la pratique des autorités étrangères dans ce domaine et s’est en particulier adressée aux autorités britanniques, françaises et allemandes.</w:t>
      </w:r>
    </w:p>
    <w:p>
      <w:r>
        <w:rPr>
          <w:b/>
        </w:rPr>
        <w:t>E. 5</w:t>
      </w:r>
    </w:p>
    <w:p>
      <w:r>
        <w:t>L’examen osseux auquel procède l’ODR consiste en une radiographie de la main gauche du requérant. En fonction de l’état de progression de la fusion des cartilages de croissance, il serait possible sur cette base de définir avec une certitude suffisante un âge chronologique de la personne. La constatation repose sur l’image radiologique qui est comparée à un atlas de référence, l’atlas dressé par William Walter Greulich et S. Idell Pyle (W. W. Greulich / S. I. Pyle, Radiographic atlas of skeletal development of the hand and wrist, second edition, Stanford/London, 1959: ci-après Greulich/Pyle). L’atlas Greulich/Pyle définit des standards moyens pour des garçons et des filles. Ces standards correspondent à des clichés radiographiques qui restituent le degré de maturation qu’atteint en moyenne un jeune à un âge considéré (cf. aussi Y. Brutsch, L’âge osseux comme preuve de dissimulation d’identité dans la procédure d’asile, Genève, janvier 2000, p. 2; M. Gattiker, Rechtliche Probleme der Altersbestimmung bei minderjährigen Asylsuchenden, in ASYL 1/2000, p. 16 ss). Selon ces tables de référence, la fusion des cartilages est achevée en moyenne à 19 ans pour un jeune adolescent et à 18 ans pour une jeune fille. Les spécialistes évoquent alors des âges osseux de 19 ans ou de 18 ans ou parlent simplement d’âge adulte. Au-delà de cet âge (osseux) maximal, le spécialiste ne peut que constater l’âge adulte du sujet, sans qu’il soit possible de déterminer depuis combien de temps cet âge a été atteint. Entre 16 et 19 ans (pour les adolescents), l’âge osseux est arrondi à l’année. Il en est de même pour les jeunes filles entre 14 et 18 ans. Sur le plan clinique, ces tables ont été élaborées pour définir une maturation osseuse précoce ou tardive par rapport à la moyenne (cf. aussi étude F. K. Ontell et al., Bone age in children of diverse ethnicity, in American Journal of Roentgenology (AJR) 167 / décembre 1996, p. 1395 ss: ci-après étude Ontell). Elles sont censées fournir des données plus fiables aux praticiens que ne le sont la seule grandeur, le poids ou l’âge d’un patient qui ne tiennent pas suffisamment compte de la diversité ethnique aux Etats-Unis (atlas Greulich/Pyle, op. cit., p. 1). Elles permettent au praticien de prévoir l’ampleur de la croissance à venir et ce avec une fiabilité suffisante (cf. détermination du Prof. F. du 22 février 2000). Il est également possible par ce biais de constater une éventuelle maturation qui échappe à la norme. Dans le domaine de l’asile, la question qui se pose est de savoir dans quelle mesure ces indications peuvent être suffisamment fiables pour fixer un âge chronologique et plus particulièrement l’âge de la majorité d’un requérant en fonction d’un âge 4</w:t>
      </w:r>
    </w:p>
    <w:p>
      <w:r>
        <w:t>osseux déterminé, ce dernier âge ne coïncidant pas nécessairement avec l’âge chronologique recherché. Le raisonnement auquel doit procéder l’autorité n’est donc pas comparable à celui du médecin, puisque les prémisses diffèrent.</w:t>
      </w:r>
    </w:p>
    <w:p>
      <w:r>
        <w:rPr>
          <w:b/>
        </w:rPr>
        <w:t>E. 6</w:t>
      </w:r>
    </w:p>
    <w:p>
      <w:r>
        <w:t>Or, force a été de constater aux auteurs de cette étude que de manière générale, la maturation osseuse était plus précoce dans les années 90 que dans les années 30 au moment de l’adolescence (pour les adolescents de race blanche par exemple, la valeur moyenne s’inscrit 1,8 mois avant la moyenne définie par Greulich/Pyle). Cette plus grande précocité est encore plus marquée pour les sujets d’autres ethnies (cf. détermination du Prof. S. du 21 mars 2000), même si la référence ici ne concerne que des personnes de race blanche des années 30. Pour les adolescents de race noire par exemple, la différence est de 4,9 mois. Quant aux jeunes filles, elles sont plus précoces de 3,9 mois si elles sont de race blanche et de 9,6 mois si elles sont de race noire. Ces constatations sont confirmées par une autre étude réalisée en 1993 (pour les jeunes filles: 1,9 mois si elles sont de race blanche, 8,1 mois si elles sont de race noire; pour les adolescents: 5,4 mois s’ils sont de race blanche et 4,5 mois s’ils sont de race noire. R. T. Loder et al., Applicability of the Greulich and Pyle skeletal age standards to black and white children of today, in American Journal of Diseases of Children 1993, vol. 147: p. 1329 ss: ci-après étude Loder). Les auteurs parlent alors de différence entre les deux valeurs moyennes (mean difference). Ces valeurs moyennes doivent encore être nuancées en fonction de l’écart standard au sein de la même classe d’âge, comme cela a déjà été évoqué pour l’atlas Greulich/Pyle, afin de pouvoir prendre en considération non seulement la valeur statistique moyenne, mais la réalité effective d’un échantillon représentatif au sein d’une classe d’âge. A titre d’exemple, une unité d’écart standard pour un adolescent de race noire correspond à 1,3 an et deux unités d’écart à 2,6 ans (étude Ontell) et à respectivement 1,24 an et 2,48 ans (étude Loder). c. En résumé, il apparaît qu’à la différence de ce qui prévaut pour le médecin pour lequel l’intérêt de l’examen osseux réside en premier lieu dans la mise à disposition de données fiables pour prévoir la croissance d’une personne (il a alors connaissance de l’âge chronologique et le compare aux valeurs moyennes d’âge osseux), ce qui intéresse en priorité l’autorité en matière d’asile est de procéder au raisonnement inverse, c’est-à-dire d’établir un âge chronologique en fonction d’un âge osseux. Or, en procédant à cette démarche, l’autorité doit pondérer le résultat en tenant compte de la grande variation possible à l’intérieur d’une classe d’âge. Elle se doit alors de définir les limites de la normalité (qui correspondent à deux unités d’écart standard). On peut citer les exemples suivants: Un jeune adolescent de race blanche qui présenterait sur le plan osseux un âge adulte aurait en principe (puisqu’il s’agit d’une valeur moyenne) un âge chronologique de 19 ans selon l’atlas Greulich/Pyle, mais pourrait avoir selon l’étude Ontell en réalité un âge chronologique de 2 mois inférieur au titre de la différence des valeurs moyennes auxquels il faudrait ajouter 2,4 ans (2 ans et 5 mois) au maximum (correspondant à deux unités d’écart standard de 1,2 an). L’intéressé pourrait donc parfaitement avoir 16 ans et 5 mois tout en connaissant néanmoins un développement osseux normal. Pour un adolescent de race noire dans les mêmes conditions, il faudrait tenir compte d’une différence au niveau des valeurs moyennes de 5 mois et de deux unités d’écart standard de 2 ans et 7 mois (deux fois 1,3 an) toujours au titre</w:t>
      </w:r>
    </w:p>
    <w:p>
      <w:r>
        <w:rPr>
          <w:b/>
        </w:rPr>
        <w:t>E. 7</w:t>
      </w:r>
    </w:p>
    <w:p>
      <w:r>
        <w:t>de l’étude Ontell citée en référence par l’autorité intimée. L’intéressé pourrait donc avoir 16 ans sans échapper aux 90-95% des individus qui présentent un développement normal. Il découle de ce qui précède qu’il n’est pas possible, sur la base d’un examen osseux, de prendre des conclusions fiables en ce qui concerne la question de savoir si un requérant a réellement atteint l’âge de la majorité, même si l’intéressé présente un squelette de type adulte (cf. aussi la détermination des Prof. M. et B. du 19 avril 2000). On peut tout au plus affirmer qu’une personne a avancé un âge chronologique peu crédible, si l’âge allégué sort du cadre des écarts standard mentionnés ci-dessus. d. Ce constat est d’ailleurs partagé dans le résultat tout au moins par les autorités britanniques qui ne procèdent pas à des radiographies osseuses en raison du manque de fiabilité des conclusions que l’on peut en tirer. Quant aux autorités françaises en matière d’asile, elles relèvent qu’elles ne sont pas directement concernées, mais que la tendance existe dans les tribunaux français de dénier toute fiabilité à ces examens en relation avec des mineurs africains ou asiatiques (cf. jugement du 17 avril 2000 du Tribunal d’instance de Paris 20ème). S’agissant des autorités allemandes, elles ne procèdent pas à de tels examens, dans la mesure où une base légale fait défaut. 8.a. Dans le cas d’espèce, A. D. est ressortissant de Guinée. Il a allégué un âge de 17 ans et 6 mois au moment où la radiographie osseuse a été réalisée (date de naissance prétendue le 4 juin 1982; examen osseux le 8 décembre 1999). L’âge osseux a été évalué à 19 ans ou plus. En appliquant les résultats de l’étude Ontell, il y a lieu de prendre en compte la plus grande précocité de la maturation chez des adolescents de race noire de 5 mois, puis de rapporter deux unités d’écart standard, soit 2,6 ans. Dans ces conditions, et selon l’étude citée en référence par l’ODR, l’intéressé pourrait parfaitement présenter un âge chronologique de 16 ans tout en se trouvant encore dans les limites d’un développement normal au niveau osseux. Même si l’on devait prendre en compte l’atlas Greulich/Pyle et supposer que le sujet né dans les années 20 est de race blanche en provenance des Etats-Unis, l’écart à respecter serait encore tel que l’on ne saurait confirmer la décision entreprise (26 mois pour un jeune de 17 ans selon les constatations de la Brush Foundation; 30 mois pour un jeune de 17 ans de l’échantillon examiné par le Dr. Stuart). En tout état de cause, on ne tiendrait pas encore compte de la spécificité du développement osseux de ressortissants africains, dont rien n’indique encore que la maturation osseuse est retardée par rapport à un jeune Américain. On ne saurait ainsi soutenir que le requérant a trompé l’autorité sur son âge et par là sur un des éléments de son identité. b. Au vu de ce qui précède, une tromperie au sens de l’art. 32 al. 2 let. b LAsi ne saurait être constatée sur la base de l’examen osseux du 8 décembre 1999 et compte tenu des informations médicales à disposition. La décision de non-entrée en matière est intervenue dès lors en violation de la loi et vu le pouvoir d’examen de l’autorité de céans, la décision du 7 janvier 2000 doit être annulée et la cause renvoyée à l’intimée pour nouvelle décision. Dans le cadre d’une décision de non-entrée en matière en effet, le fardeau de la preuve incombe incontestablement à l’autorité qui ne saurait limiter l’objet du litige (et priver par là le requérant de la faculté de faire valoir certains moyens) sans un motif pertinent, ce qui n’est pas le cas en l’espèce. Certes, si</w:t>
      </w:r>
    </w:p>
    <w:p>
      <w:r>
        <w:rPr>
          <w:b/>
        </w:rPr>
        <w:t>E. 8</w:t>
      </w:r>
    </w:p>
    <w:p>
      <w:r>
        <w:t>c’est bien à tort que l’ODR a rendu une décision de non-entrée en matière en la présente cause, il n’est pas encore dit pour autant que l’on devra admettre sans autre la minorité de l’intéressé dans le cadre d’une décision matérielle future. Il appartiendra bien plus au recourant dans la procédure à venir de rendre vraisemblable (art. 7 LAsi) qu’il est mineur, puisque c’est lui qui entend déduire un droit de ce fait (cf. art. 8 du code civil suisse du 10 décembre 1907 [CCS], RS 210). Il s’ensuit que le recours interjeté le 10 février 2000, en tant qu’il conclut à l’annulation de la décision entreprise, doit être admis. Partant, la décision du 7 janvier 2000 est annulée. [66]64 Décision sur une question de principe selon l’art. 104 al. 3 LAsi en relation avec l’art. 10 al. 2 let. a et l’art. 11 al. 2 let. a et b de l’Ordonnance du</w:t>
      </w:r>
    </w:p>
    <w:p>
      <w:r>
        <w:rPr>
          <w:b/>
        </w:rPr>
        <w:t>E. 11</w:t>
      </w:r>
    </w:p>
    <w:p>
      <w:r>
        <w:t>août 1999 concernant la Commission suisse de recours en matière d’asile (OCRA, RS 142.317). [67]65 Entscheid über eine Grundsatzfrage gemäss Art. 104 Abs. 3 AsylG in Verbindung mit Art. 10 Abs. 2 Bst. a und Art. 11 Abs. 2 Bst. a und b der Verordnung vom 11. August 1999 über die Schweizerische Asylrekurskommission (VOARK, SR 142.317). [68]66 Decisione su questione di principio conformemente all’art. 104 cpv. 3 LAsi in relazione con l’art. 10 cpv. 2 lett. a e l’art. 11 cpv. 2 lett. a e b dell’Ordinanza del 11 agosto 1999 concernente la Commissione svizzera di ricorso in materia d’asilo (OCRA, RS 142.317). 9</w:t>
      </w:r>
    </w:p>
    <w:p>
      <w:r>
        <w:t>Schweizerisches Bundesarchiv, Digitale Amtsdruckschriften Archives fédérales suisses, Publications officielles numérisées Archivio federale svizzero, Pubblicazioni ufficiali digitali JAAC 65.4 - Extraits de la décision de la Commission suisse de recours en matière d'asile du 12 septembre 2000 dans la cause A. D., Guinée, également paru dans la Jurisprudence et informations de la Commission suisse de recours en matière d'asile [JI... In Verwaltungspraxis der Bundesbehörden Dans Jurisprudence des autorités administratives de la Confédération In Giurisprudenza delle autorità amministrative della Confederazione Jahr 2001 Année Anno Band 65 Volume Volume Seite --- Page Pagina Ref. No 150 005 207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