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 vom 5. September 2000</w:t>
      </w:r>
    </w:p>
    <w:p>
      <w:r>
        <w:t>Bundesverwaltung, 2000-09-05, DE</w:t>
      </w:r>
    </w:p>
    <w:p>
      <w:r>
        <w:rPr>
          <w:b/>
        </w:rPr>
        <w:t xml:space="preserve">Quelle: </w:t>
      </w:r>
      <w:r>
        <w:t>https://mcp.opencaselaw.ch/entscheid/ch_vb_JAAC_65.1__</w:t>
      </w:r>
    </w:p>
    <w:p>
      <w:r>
        <w:t>FR: CH_VB JAAC 65.1 du 5 septembre 2000</w:t>
      </w:r>
    </w:p>
    <w:p>
      <w:r>
        <w:t>IT: CH_VB JAAC 65.1 del 5 settembre 2000</w:t>
      </w:r>
    </w:p>
    <w:p>
      <w:pPr>
        <w:pStyle w:val="Heading2"/>
      </w:pPr>
      <w:r>
        <w:t>Erwägungen</w:t>
      </w:r>
    </w:p>
    <w:p>
      <w:r>
        <w:rPr>
          <w:b/>
        </w:rPr>
        <w:t>E. 1</w:t>
      </w:r>
    </w:p>
    <w:p>
      <w:r>
        <w:t>Sachverhaltsprobleme, deren Beurteilung derzeit noch unklar erscheint. Offen ist insbesondere der Begriff des «Kampfhundes». Es wäre insbesondere zu klären, - ob damit lediglich Hunde bestimmter Rassen anvisiert sind, denen eine überdurchschnittliche Aggressivität sozusagen unvermeidbar angezüchtet worden ist, - ob es sich um Hunde bestimmter Rassen handelt, denen die Aggressivität durch Dressur anerzogen worden ist, die sich aber aufgrund ihrer Rassenzugehörigkeit besonders gut für diesen Zweck eignen, oder - ob es sich ungeachtet der Rasse um Hunde handelt, von denen infolge Dressur oder falscher Haltung ein für Menschen erhebliches Gefährdungspotential ausgeht. Immerhin ist darauf hinzuweisen, dass eine Regelung im Grunde nur Sinn macht, wenn sie sozusagen verursacherbezogen ist, also auch faktisch diejenigen Tiere bzw. Tierhalter anvisiert, von welchen konkrete Gefährdungen ausgehen.</w:t>
      </w:r>
    </w:p>
    <w:p>
      <w:r>
        <w:rPr>
          <w:b/>
        </w:rPr>
        <w:t>E. 2</w:t>
      </w:r>
    </w:p>
    <w:p>
      <w:r>
        <w:t>Im geltenden Bundesrecht bereits normiert sind die zivilrechtlichen und strafrechtlichen Folgen des Verhaltens von Tierhaltern, welches zu Personen- oder Vermögensschäden führt. Strafrechtlich gilt ein Tier als «Tatwerkzeug» seines jeweiligen Halters, so dass etwa Körperverletzungen, Drohungen, etc., die konkret von einem Tier ausgehen, seinem jeweils verantwortlichen Halter als Straftat zuzurechnen sind. Bei Verursachen von Schäden mit vermögensrechtlichen Folgen (z.B. Heilungskosten) durch Tiere kommt die Tierhalterhaftung nach Art. 56 des Obligationenrechts vom 30. März 1911 (OR)[2] zum Tragen.</w:t>
      </w:r>
    </w:p>
    <w:p>
      <w:r>
        <w:rPr>
          <w:b/>
        </w:rPr>
        <w:t>E. 3</w:t>
      </w:r>
    </w:p>
    <w:p>
      <w:r>
        <w:t>Art. 80 BV15 (Tierschutz) Schutzobjekt dieser Bestimmung ist das Tier selbst, nicht aber der Mensch. So finden hinsichtlich Zucht, Haltung und Dressur von Hunden die einschlägigen Bestimmungen des Tierschutzgesetzes vom 9. März 1978 (TSchG)[16] und des entsprechenden Ausführungsrechts bereits jetzt Anwendung. Es ist denkbar, dass gewisse Zucht-, Haltungs- und Dressurmethoden zur Heranbildung von Kampfhunden per se als tierquälerisch zu beurteilen sind und daher im Rahmen der tierschutzrechtlichen Grundlagen zur regeln bzw. zu verbieten wären. Es liegt auf der Hand, dass das primäre Motiv und Ziel solcher Regelungen zwar nicht der Schutz des Menschen vor gefährlichen Tieren sein kann, dass sie aber materiell einen erheblichen Beitrag zum Schutz des Menschen leisten könnten. Art. 80 BV bietet demnach zwar keine hinreichende Grundlage, um Vorschriften zum unmittelbaren Schutz des Menschen vor</w:t>
      </w:r>
    </w:p>
    <w:p>
      <w:r>
        <w:rPr>
          <w:b/>
        </w:rPr>
        <w:t>E. 4</w:t>
      </w:r>
    </w:p>
    <w:p>
      <w:r>
        <w:t>Art. 82 Abs. 117 und Art. 88 Abs. 118 BV (Strassenverkehr und Fuss- und Wanderwege) a. Die Berufung auf diese beiden Bestimmungen wäre insbesondere zu prüfen, wenn eine besondere gesetzliche Regelung über den Umgang mit gefährlichen Hunden bzw. Tieren auf öffentlichen Strassen, Fusswegen und Wanderwegen d. h. also im Bereiche des öffentlichen Verkehrsraumes, angestrebt würde. Die Regelungskompetenz des Bundes von Art. 82 Abs. 1 ist umfassend. Das darauf abgestützte geltende Strassenverkehrsgesetz vom 19. Dezember 1958 (SVG)[19] befasst sich allerdings heute fast ausschliesslich mit der Sicherheit des Motorfahrzeug- und Radfahrerverkehrs; die Regelungen für die übrigen Strassenbenützer werden durch Art. 3 Abs. 5 SVG an die Kantone delegiert. Immerhin regelt das Gesetz den Umgang mit bestimmten Tieren auf öffentlichen Strassen zumindest unter dem Aspekt der Verkehrssicherheit bereits bis zu einem gewissen Grade[20]. b. Die Verfassungsbestimmung über die Fuss- und Wanderwege beschränkt den Bund auf den Erlass von Grundsätzen und das ausführende Bundesgesetz vom 4. Oktober 1985 über Fuss- und Wanderwege (FWG)[21] ist heute praktisch ein reines Planungs- und Förderungsgesetz, das für den Verkehr auf diesen Wegen selbst keine Vorschriften erlässt. c. Rein vom Wortlaut der beiden Verfassungsbestimmungen her wäre es wohl nicht auszuschliessen, dass der Bund auf Gesetzesebene zum Schutze der übrigen Verkehrsteilnehmer einige Grundsätze über den Umgang mit gefährlichen Hunden bzw. Tieren auf den der Öffentlichkeit gewidmeten Verkehrswegen, einschliesslich der Fussgängerverbindungen und Wanderwege, erlässt. Zu bedenken ist allerdings, dass solche Regelungen bisher immer als kantonale oder gar kommunale Zuständigkeit betrachtet wurden und dass in diesem Rahmen nur sehr punktuelle Vorschriften (etwa ein Anleinungsgebot auf den der Öffentlichkeit gewidmeten Verkehrswegen) möglich wären. Ebenso würde eine solche Regelung den traditionellen Anwendungsbereich der Verfassungsbestimmung um ein eher ungewöhnliches Sachgebiet erweitern. Gesamthaft gesehen ist von einer Abstützung auf diese Bestimmungen abzuraten.</w:t>
      </w:r>
    </w:p>
    <w:p>
      <w:r>
        <w:rPr>
          <w:b/>
        </w:rPr>
        <w:t>E. 5</w:t>
      </w:r>
    </w:p>
    <w:p>
      <w:r>
        <w:t>diese Tätigkeit ein wirtschaftliches Ziel hat. Die gewerbliche Zucht und der Handel mit solchen Tieren könnten daher von bestimmten Bedingungen (z.B. Fähigkeits- und Leumundsnachweis, bestimmte Buchführungspflichten, etc.) abhängig gemacht und es könnten entsprechende Kontrollen eingeführt werden. Allein gestützt auf diese Bestimmung könnten allerdings keine Regelungen für Züchter und Halter erlassen werden, deren Tätigkeit keinem wirtschaftlichen, sondern vorweg einem emotionalen oder ideellen Ziele dient (Freizeitgestaltung, etc.).</w:t>
      </w:r>
    </w:p>
    <w:p>
      <w:r>
        <w:rPr>
          <w:b/>
        </w:rPr>
        <w:t>E. 6</w:t>
      </w:r>
    </w:p>
    <w:p>
      <w:r>
        <w:t>auf Kampfhunde auszudehnen, war kein Erfolg beschieden[31] und im Plenum der Räte war eine solche Erweiterung kein Diskussionsgegenstand mehr. e. Die Frage, ob der Gesetzgeber heute den Geltungsbereich des Waffengesetzes gestützt auf Art. 107 Abs. 1 BV auf gefährliche Hunde bzw. Tiere ausdehnen kann, ist aufgrund der Entstehungsgeschichte zu verneinen. Verfassungsrechtlich nicht ausgeschlossen erscheint dagegen eine entsprechende Ergänzung des Waffengesetzes, die sich auf eine der anderen hier diskutierten Verfassungsgrundlagen (s. insb. Ziff. 5 und 7) abstützt. Unter dem Gesichtspunkt der Zweckmässigkeit wäre allerdings auch dies abzulehnen. Die Regelungen und Institute des Waffengesetzes sind vollständig auf den herkömmlichen Waffenbegriff ausgerichtet und können nicht einfach auf das Züchten und Halten von Tieren angewendet werden.</w:t>
      </w:r>
    </w:p>
    <w:p>
      <w:r>
        <w:rPr>
          <w:b/>
        </w:rPr>
        <w:t>E. 7</w:t>
      </w:r>
    </w:p>
    <w:p>
      <w:r>
        <w:t>Gesundheitsgefährdung schliesslich umfasst auch die Verletzung, seien es nun Verletzungen, die bei der Handhabung eines gefährlichen Gegenstandes entstehen oder die durch einen gefährlichen Organismus bzw. ein Tier beigebracht werden. d. Von der Interpretation des Wortlautes her kann angenommen werden, dass der Bund gestützt auf Art. 118 Abs. 2 Bst. a BV tatsächlich zum Schutz des Menschen über den Umgang mit gefährlichen Hunden bzw. Tieren legiferieren könnte. Obwohl zwar eine solche Interpretation hier wesentlich näher bei Wortlaut und Sinn der Verfassungstextes liegt, als bei den anderen geprüften Bestimmungen, muss aber auch darauf hingewiesen werden, dass eine entsprechende Regelung das bisherige Anwendungsgebiet der Bestimmung doch um einiges ausweiten würde und zumindest ungewöhnlich erscheint.</w:t>
      </w:r>
    </w:p>
    <w:p>
      <w:r>
        <w:rPr>
          <w:b/>
        </w:rPr>
        <w:t>E. 8</w:t>
      </w:r>
    </w:p>
    <w:p>
      <w:r>
        <w:t>Normierung immer eine relativ ausführliche Vollzugsregelung und eine rechtsstaatlich unbedenkliche Vollzugsorganisation benötigt, sei es auf der Ebene des Bundes oder der Kantone. 3. Mit dem sogenannten Kernstrafrecht werden Verhaltensweisen pönalisiert, die grundsätzlich per se als verwerflich gelten und nicht erst durch Nichtbeachtung einer verwaltungsrechtlichen Pflicht strafbar werden. Da es im vorliegenden Fall letztlich um den Schutz von Leib und Leben geht, erscheint eine rein strafrechtliche Normierung nicht von vornherein unverhältnismässig. Obwohl die Strafverfolgungsorgane erst tätig werden, wenn das Delikt begangen worden ist oder kurz vor der Begehung steht, wirkt eine rein strafrechtliche Regelung durch die Strafdrohung gegenüber einem verpönten Verhalten bis zu einem gewissen Grade ebenfalls präventiv. Die Norm müsste allerdings so allgemein gefasst werden, dass das Halten bestimmter Tierarten oder -rassen nicht von vorneherein diskriminiert wird und in der Sache selbst auf das eindeutig verwerfliche Verhalten im Einzelfall ausgerichtet werden. Im Gegensatz zu einer verwaltungsrechtlichen Lösung müssen keine besonderen Vollzugsvorkehrungen getroffen werden. Dies hätte den Vorteil der grösseren Einfachheit und der bereits bestehenden Vollzugsstrukturen und -modalitäten, da der Vollzug durch die Organe der Strafverfolgung in der Regel unmittelbar erfolgen kann. Die Schwierigkeiten in diesem Bereich dürften aber vor allem in der Formulierung des hinreichend konkreten Straftatbestandes liegen. Sofern dies nicht gelingt - was angesichts der zumindest heute bekannten Fakten bis zu einem gewissen Grade angenommen werden muss - würde es Aufgabe des Strafrichters sein, differenzierte Anforderungen an die Haltung gefährlicher Tiere bzw. Hunde zu stellen. Die konkreten Anforderungen würden daher durch die Gerichtspraxis von Fall zu Fall erarbeitet werden müssen, was angesichts des Fehlens einigermassen anerkannter Normen wohl während längerer Zeit zu grossen und im Bereiche des Strafrechts bedenklichen Rechtsunsicherheiten führen müsste. [1]1 SR 101. [2]2 SR 220. [4]4 Vgl. dazu die Botschaft des Bundesrates über eine neue Bundesverfassung vom 20. November 1996, BBl 1997 I 236/237. [6]6 SR 814.01. [7]7 Vgl. Art. 29b Abs. 1 USG. [8]8 BBl 1997 I 248. [9]9 Vgl. etwa Thomas Fleiner-Gerster, in «Kommentar BV», Art. 24septies, Rz. 13, 32 und 33; Hans-Ulrich Müller, in «Kommentar zum Umweltschutzgesetz», Zürich 1992, Summarische Orientierung über das USG, N. 19. [10]10 SR 814.49. [11]11 SR 814.710. [12]12 SR 814.911. [13]13 Vgl. Art. 3 FSV. [14]14 SR 818.101. [16]16 SR 455. [19]19 SR 741.01. [20]20 Vgl. Art. Art. 50 SVG. [21]21 SR 704.</w:t>
      </w:r>
    </w:p>
    <w:p>
      <w:r>
        <w:rPr>
          <w:b/>
        </w:rPr>
        <w:t>E. 9</w:t>
      </w:r>
    </w:p>
    <w:p>
      <w:r>
        <w:t>[23]23 S. Botschaft, BBl 1997 1 I 298. [24]24 Vgl. statt vieler René Rhinow, in «Kommentar BV», Art. 31bis, Rz. 41 ff. [26]26 Vgl. etwa Protokoll der Sicherheitspolitischen Kommission des Nationalrates vom 9./10. September 1996, S. 58 sowie vom 28./29. Oktober 1996, S. 11 f. [27]27 Tobias Jaag, in «Kommentar BV», Art. 40bis, Rz. 26; Bericht der Sicherheitspolitischen Kommission des Nationalrates zur parlamentarischen Initiative Borel, Handel mit Waffen. Aufsicht des Bundes, BBl 1993 I 634, Ziff. 62: «(...) sollten folgende Gegenstände als Waffen definiert werden: a. Schusswaffen inkl. Replikas und ihre wesentlichen Bestandteile; b. blanke Waffen wie Spring- und Fallmesser oder solche, die einen Gebrauchsgegenstand vortäuschen; c. Geräte, die durch Versprühen oder Zerstäuben von Stoffen die Gesundheit von Menschen auf Dauer schädigen; d. Geräte die durch Freigeben von Energien die Widerstandskraft von Menschen beeinträchtigen oder deren Gesundheit auf Dauer schädigen. (...)» [28]28 Walter Rudolf Häberling, Waffenhandel, Erwerb, Besitz und Tragen von Waffen aus der Sicht des Nebenstrafrechts, Diss. Zürich 1990, S. 20 f. [29]29 SR 311.0. [30]30 SR 514.54. [31]31 Protokoll der Sicherheitspolitischen Kommission des Nationalrates vom 9./10. September 1996, S. 58 sowie vom 28./29. Oktober 1996, S. 11 f. [33]33 Botschaft, BBl 1997 I 333. [34]34 S. insb. Art. 120 Abs. 2 BV sowie etwa Art. 7 Abs. 5bis USG und BBl 1993 II 1448.</w:t>
      </w:r>
    </w:p>
    <w:p>
      <w:r>
        <w:rPr>
          <w:b/>
        </w:rPr>
        <w:t>E. 10</w:t>
      </w:r>
    </w:p>
    <w:p>
      <w:r>
        <w:t>Schweizerisches Bundesarchiv, Digitale Amtsdruckschriften Archives fédérales suisses, Publications officielles numérisées Archivio federale svizzero, Pubblicazioni ufficiali digitali JAAC 65.1 - Gutachten des Bundesamtes für Justiz vom 5. September 2000 In Verwaltungspraxis der Bundesbehörden Dans Jurisprudence des autorités administratives de la Confédération In Giurisprudenza delle autorità amministrative della Confederazione Jahr 2001 Année Anno Band 65 Volume Volume Seite --- Page Pagina Ref. No 150 005 108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