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65.110 vom 16. Januar 2001</w:t>
      </w:r>
    </w:p>
    <w:p>
      <w:r>
        <w:t>Bundesverwaltung, 2001-01-16, DE</w:t>
      </w:r>
    </w:p>
    <w:p>
      <w:r>
        <w:rPr>
          <w:b/>
        </w:rPr>
        <w:t xml:space="preserve">Quelle: </w:t>
      </w:r>
      <w:r>
        <w:t>https://mcp.opencaselaw.ch/entscheid/ch_vb_JAAC_65.110__</w:t>
      </w:r>
    </w:p>
    <w:p>
      <w:r>
        <w:t>FR: CH_VB JAAC 65.110 du 16 janvier 2001</w:t>
      </w:r>
    </w:p>
    <w:p>
      <w:r>
        <w:t>IT: CH_VB JAAC 65.110 del 16 gennaio 2001</w:t>
      </w:r>
    </w:p>
    <w:p>
      <w:pPr>
        <w:pStyle w:val="Heading2"/>
      </w:pPr>
      <w:r>
        <w:t>Erwägungen</w:t>
      </w:r>
    </w:p>
    <w:p>
      <w:r>
        <w:rPr>
          <w:b/>
        </w:rPr>
        <w:t>E. 5</w:t>
      </w:r>
    </w:p>
    <w:p>
      <w:r>
        <w:t>Behauptung, dass sie ihre Leistungen nur in Zügen erbracht hat, die ohne Ablageflächen in der von der ESTV definierten, weitergehenden Art ausgestattet sind. b. Unter diesen Umständen kann hier offenbleiben, ob auch das zweite Kriterium (beim Kunden zubereitet oder serviert) erfüllt ist. Namentlich braucht nicht beurteilt zu werden, ob eine Serviceleistung im Sinne von Art. 27 MWSTV bereits durch den Ausschank von Getränken in Gläser gegeben ist, wie dies die Verwaltungspraxis vorsieht. c. Die Beschwerdeführerin beruft sich auf das Rechtsgleichheitsgebot: «Ist eine Verkaufstheke eines Ladengeschäftes oder Kioskes keine besondere Vorrichtung, so kann es auch das Ausziehbrettchen eines Zugsabteils nicht sein. Sind Hauslieferungen genussfertig zubereiteter Pizzas an einen Kunden, der sogar besondere Vorrichtungen für den Verzehr bei sich zuhause hat (BGE 123 II 16), der Verkauf von Ess- und Trinkwaren ab einem fahrbaren Kiosk oder der Verkauf über die Gasse keine gastgewerblichen Leistungen, so kann es der Verkauf ab Minibuffet auch nicht sein». Die Beschwerdeführerin rügt ferner eine Verletzung ihrer Handels- und Gewerbefreiheit: «Falls beispielsweise ein Zugsreisender im Bahnhof Bern an einem Kiosk ein Sandwich kauft, ist dieses mit 2% (heute 2,3%) Mehrwertsteuer belastet. Macht derselbe Konsument ein paar Schritte mehr und kauft er fünf Minuten später ein Sandwich im Zug (Minibuffet), soll dieser Umsatz nach Ansicht der ESTV nun plötzlich einem Steuersatz von 6,5% (heute 7,5%) unterliegen. Diese Auffassung ist abzulehnen, da sie eine verfassungsrechtlich verpönte Ungleichbehandung und Wettbewerbsverzerrung zur Folge hätte». aa. Ein Erlass verletzt den Grundsatz der Rechtsgleichheit und damit Art. 8 BV, wenn er rechtliche Unterscheidungen trifft, für die ein vernünftiger Grund in den zu regelnden Verhältnissen nicht ersichtlich ist, oder Unterscheidungen unterlässt, die sich aufgrund der Verhältnisse aufdrängen. Die Rechtsgleichheit ist insbesondere dann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(BGE 123 I 141, BGE 121 I 104, BGE 119 Ia 128; Arthur Haefliger, Alle Schweizer sind vor dem Gesetze gleich, Bern 1985, S. 60 ff.; Ulrich Häfelin / Georg Müller, Grundriss des allgemeinen Verwaltungsrechts, 3. Aufl., Zürich 1998, Rz. 401 ff.). Die Beschwerdeführerin bot ihre Leistungen in Eisenbahnzügen an, bewegte sich zum Konsumenten hin, verkaufte ihm Ess- und Trinkwaren und hielt ihm zu deren Konsum an Ort und Stelle besondere Vorrichtungen bereit. Bei den durch die Beschwerdeführerin angeführten Vergleichsbeispielen handelt es sich um steuerrechtlich wesentlich andere Sachverhalte. Der Erbringer hält dem Kunden nämlich in keinem der Fälle Konsumationsvorrichtungen an Ort und Stelle zur Verfügung. Insbesondere ist es beim Fall der Pizza-Hauslieferung nicht der Lieferant, sondern der Kunde selbst, der über die besondere Vorrichtung für den Verzehr verfügt. bb. Nach der bundesgerichtlichen Rechtsprechung folgt aus Art. 27 BV für Wettbewerbsbeteiligte ein besonderer Anspruch auf Gleichbehandlung durch das Gemeinwesen. Der tragende Gedanke liegt darin, dass sich der Staat gegenüber den am freien Markt auftretenden direkten Konkurrenten</w:t>
      </w:r>
    </w:p>
    <w:p>
      <w:r>
        <w:rPr>
          <w:b/>
        </w:rPr>
        <w:t>E. 6</w:t>
      </w:r>
    </w:p>
    <w:p>
      <w:r>
        <w:t>neutral zu verhalten hat. Daraus wird das Gebot der Wettbewerbsneutralität abgeleitet (BGE 121 I 132 E. 3b, BGE 120 Ia 237 f. E. 1a, BGE 120 Ib 145 E. 1c/aa; s.auch BGE 124 II 382 E. c). Dieses ist allerdings nur unter Gewerbegenossen anwendbar. Als solche gelten direkte Konkurrenten, das heisst die Angehörigen der gleichen Branche, die sich mit gleichen Angeboten an dasselbe Publikum richten, um das gleiche Bedürfnis zu befriedigen (BGE 121 I 132 E. 3b, BGE 120 Ia 238 E. 1b). Bei den durch die Beschwerdeführerin aufgeführten Leistungserbringern (Kioske, Take-aways, Schnellimbiss-Gelegenheiten, Lebensmittelautomaten etc.) handelt es sich nicht um ihre direkten Konkurrenten im Sinne der bundesgerichtlichen Rechtsprechung, richtet sich doch keiner dieser Anbieter an das bereits im Zug sitzende Publikum. Auch gehören diese Leistungserbringer einer anderen Branche als die Beschwerdeführerin an. Zur Wahrung der Handels- und Gewerbefreiheit genügt, wenn die ESTV sämtliche Anbieter von Minibar-Leistungen in Eisenbahnwagen oder vergleichbaren Verkehrsmitteln als direkte Wettbewerbsbeteiligte gleichbehandelt. Dies ist unbestrittenermassen der Fall. 5. Dem Gesagten zufolge ist die Beschwerde abzuweisen (...).</w:t>
      </w:r>
    </w:p>
    <w:p>
      <w:r>
        <w:rPr>
          <w:b/>
        </w:rPr>
        <w:t>E. 7</w:t>
      </w:r>
    </w:p>
    <w:p>
      <w:r>
        <w:t>Schweizerisches Bundesarchiv, Digitale Amtsdruckschriften Archives fédérales suisses, Publications officielles numérisées Archivio federale svizzero, Pubblicazioni ufficiali digitali JAAC 65.110 - Entscheid der Eidgenössischen Steuerrekurskommission vom 21. Juli 2000 i.S. X [SRK 1999-114]. Auf die gegen diesen Entscheid gerichtete Beschwerde trat das Bundesgericht infolge verspäteter Bezahlung des Kostenvorschusses mit Urteil vom... In Verwaltungspraxis der Bundesbehörden Dans Jurisprudence des autorités administratives de la Confédération In Giurisprudenza delle autorità amministrative della Confederazione Jahr 2001 Année Anno Band 65 Volume Volume Seite --- Page Pagina Ref. No 150 004 967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