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64.71 vom 20. Februar 1998</w:t>
      </w:r>
    </w:p>
    <w:p>
      <w:r>
        <w:t>Bundesverwaltung, 1998-02-20, DE</w:t>
      </w:r>
    </w:p>
    <w:p>
      <w:r>
        <w:rPr>
          <w:b/>
        </w:rPr>
        <w:t xml:space="preserve">Quelle: </w:t>
      </w:r>
      <w:r>
        <w:t>https://mcp.opencaselaw.ch/entscheid/ch_vb_JAAC_64.71__</w:t>
      </w:r>
    </w:p>
    <w:p>
      <w:r>
        <w:t>FR: CH_VB JAAC 64.71 du 20 février 1998</w:t>
      </w:r>
    </w:p>
    <w:p>
      <w:r>
        <w:t>IT: CH_VB JAAC 64.71 del 20 febbraio 1998</w:t>
      </w:r>
    </w:p>
    <w:p>
      <w:pPr>
        <w:pStyle w:val="Heading2"/>
      </w:pPr>
      <w:r>
        <w:t>Erwägungen</w:t>
      </w:r>
    </w:p>
    <w:p>
      <w:r>
        <w:rPr>
          <w:b/>
        </w:rPr>
        <w:t>E. 1</w:t>
      </w:r>
    </w:p>
    <w:p>
      <w:r>
        <w:t>Nachdem die Beschwerdegegnerin bereits in der Vernehmlassung vom 6. Oktober 1997 ausdrücklich die Gewährung der Akteneinsicht in sämtliche Familienakten mit Ausnahme der Unterlagen betreffend die Krankengeschichte der Mutter des Beschwerdeführers anerkannt hat und nach Vorlegung einer entsprechenden Einwilligung nunmehr die Akteneinsicht ohne jegliche Einschränkung gewährt, ist festzustellen, dass hinsichtlich des vom Beschwerdeführer verlangten Akteneinsichtsrechts mit Ausnahme des Unkostenbeitrags kein Streitpunkt mehr besteht. Es verhält sich damit gleich, wie wenn die Beschwerdegegnerin als Vorinstanz ihre angefochtene Verfügung in Wiedererwägung gezogen hätte, wozu sie gemäss Art. 58 Abs. 1 des Bundesgesetzes vom 20. April 1968 über das Verwaltungsverfahren (VwVG, SR 172.021) bis zu ihrer Vernehmlassung zuständig gewesen wäre. Es bleibt somit lediglich festzustellen, dass sich die Beschwerdegeg­nerin heute dem geltend gemachten Akteneinsichtrecht nicht mehr widersetzt. Da die Parteien sich offensichtlich über eine Auskunftserteilung «an Ort und Stelle» im Sinne von Art. 1 Abs. 3 der Verordnung vom 14. Juni 1993 zum Bundesgesetz über den Datenschutz (VDSG, SR 235.11) geeinigt haben, ist auch nicht mehr über die Modalitäten der Auskunftserteilung zu befinden. Da der Inhaber der Datensammlung den Ort ihrer Aufbewahrung frei bestimmen kann, ist es an der Beschwerdegegnerin, dem Beschwerdeführer mitzuteilen, wo die Auskunft stattfinden kann.</w:t>
      </w:r>
    </w:p>
    <w:p>
      <w:r>
        <w:rPr>
          <w:b/>
        </w:rPr>
        <w:t>E. 2</w:t>
      </w:r>
    </w:p>
    <w:p>
      <w:r>
        <w:t>die Eidgenössische Datenschutzkommission (EDSK) keinen Anlass, von der von der Beschwerdegegnerin festgesetzten Kostenbeteiligung von Fr. 300.- abzuweichen, zumal auch die Bereitstellung der umfangreichen Akten für die Beschwerdegegnerin mit einem erheblichen Aufwand verbunden ist. Die Beschwerde ist deshalb abzuweisen, soweit sie nicht durch die Unterziehung der Beschwerdegegnerin gegenstandslos geworden ist.</w:t>
      </w:r>
    </w:p>
    <w:p>
      <w:r>
        <w:rPr>
          <w:b/>
        </w:rPr>
        <w:t>E. 3</w:t>
      </w:r>
    </w:p>
    <w:p>
      <w:r>
        <w:t>Schweizerisches Bundesarchiv, Digitale Amtsdruckschriften Archives fédérales suisses, Publications officielles numérisées Archivio federale svizzero, Pubblicazioni ufficiali digitali JAAC 64.71 - Urteil der Eidgenössischen Datenschutzkommission vom 20. Februar 1998 In Verwaltungspraxis der Bundesbehörden Dans Jurisprudence des autorités administratives de la Confédération In Giurisprudenza delle autorità amministrative della Confederazione Jahr 2000 Année Anno Band 64 Volume Volume Seite --- Page Pagina Ref. No 150 004 838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