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64.47 vom 15. Oktober 1999</w:t>
      </w:r>
    </w:p>
    <w:p>
      <w:r>
        <w:t>Bundesverwaltung, 1999-10-15, DE</w:t>
      </w:r>
    </w:p>
    <w:p>
      <w:r>
        <w:rPr>
          <w:b/>
        </w:rPr>
        <w:t xml:space="preserve">Quelle: </w:t>
      </w:r>
      <w:r>
        <w:t>https://mcp.opencaselaw.ch/entscheid/ch_vb_JAAC_64.47__</w:t>
      </w:r>
    </w:p>
    <w:p>
      <w:r>
        <w:t>FR: CH_VB JAAC 64.47 du 15 octobre 1999</w:t>
      </w:r>
    </w:p>
    <w:p>
      <w:r>
        <w:t>IT: CH_VB JAAC 64.47 del 15 ottobre 1999</w:t>
      </w:r>
    </w:p>
    <w:p>
      <w:pPr>
        <w:pStyle w:val="Heading2"/>
      </w:pPr>
      <w:r>
        <w:t>Erwägungen</w:t>
      </w:r>
    </w:p>
    <w:p>
      <w:r>
        <w:rPr>
          <w:b/>
        </w:rPr>
        <w:t>E. 1</w:t>
      </w:r>
    </w:p>
    <w:p>
      <w:r>
        <w:t>Imposta sul valore aggiunto. Deduzione dell’imposta precedente. Stima dell’imposta precedente in caso di non inoltro dei rendiconti. - Condizioni formali ed esigenze applicabili ai giustificativi che danno diritto alla deduzione dell’imposta precedente (consid. 4). - Se il contribuente non inoltra i rendiconti e se questi non corrispondono alla contabilità, l’AFC esegue una valutazione d’ufficio in base ai limiti del suo potere di apprezzamento. A tale scopo, la stima si basa unicamente sulla cifra d’affari realizzata. Per contro non va effettuata una stima dell’imposta precedente. Tuttavia, nell’ambito del calcolo dell’imposta, l’AFC deve considerare i giustificativi esistenti dell’imposta precedente, nella misura in cui questi adempiono le esigenze formali (consid. 5 b). M. unterliess es, die Mehrwertsteuerabrechnungen fristgerecht einzureichen, weshalb die Eidgenössische Steuerverwaltung (ESTV) die Steuer mittels Schätzung ermittelte. Da der Steuerpflichtige mit dieser Schätzung, insbesondere der Höhe der anzurechnenden Vorsteuern, nicht einverstanden war, führte er zunächst Einsprache und alsdann Beschwerde. Der Eidgenössischen Steuerrekurskommission (SRK) stellte sich insbesondere die Frage, ob die Verwaltung verpflichtet ist, nicht nur den Umsatz, sondern auch die anrechenbaren Vorsteuern durch Schätzung zu ermitteln, wenn der Steuerpflichtige nicht in der Lage bzw. willens ist, die erforderlichen Angaben zu machen bzw. zu belegen. Aus den Erwägungen:</w:t>
      </w:r>
    </w:p>
    <w:p>
      <w:r>
        <w:rPr>
          <w:b/>
        </w:rPr>
        <w:t>E. 4</w:t>
      </w:r>
    </w:p>
    <w:p>
      <w:r>
        <w:t>demgegenüber ein Recht des Steuerpflichtigen; ihm ist es anheim gestellt, ob er davon Gebrauch machen will. Es ist nicht die Aufgabe der ESTV, ein Recht, das dem Steuerpflichtigen zusteht, für diesen auszuüben. Sofern er von der selbst deklarierten bzw. der von der ESTV geschätzten Ausgangsumsatzsteuer Vorsteuern abziehen will, so hat er dafür den vollen Nachweis gemäss Art. 29 Abs. 1 Bst. a in Verbindung mit Art. 28 Abs. 1 MWSTV zu erbringen. Ohne diesen Nachweis kann nicht mit genügender Wahrscheinlichkeit davon ausgegangen werden, dass der Lieferer oder Dienstleistungserbringer, von dem der Steuerpflichtige eine Lieferung oder Leistung bezog, selber steuerpflichtig war und die Steuer auch tatsächlich abgeliefert hat oder noch abliefern wird. Im Weiteren bestünde bei der Möglichkeit einer Vorsteuerschätzung die Gefahr, dass ein Steuerpflichtiger, welcher sich von einem Nichtsteuerpflichtigen Lieferungen und Dienstleistungen erbringen lässt, ein Interesse daran hätte, die entsprechenden Fakturen verschwinden zu lassen, um seine Vorsteuer alsdann von der ESTV schätzen zu lassen. Um solchen und ähnlichen Missbräuchen vorbeugen zu können, ist es deshalb unabdingbar, dass der Anfall von Vorsteuern immer nachgewiesen werden muss. Da es sich bei den Vorsteuern um steuermindernde Tatsachen handelt, obliegt der formgerechte Beweis (vgl. Art. 29 Abs. 1 Bst. a in Verbindung mit Art. 28 Abs. 1 MWSTV; E. 4 hiervor) für deren Vorliegen dem Steuerpflichtigen (Ernst Blumenstein / Peter Locher, System des Steuerrechts,</w:t>
      </w:r>
    </w:p>
    <w:p>
      <w:r>
        <w:rPr>
          <w:b/>
        </w:rPr>
        <w:t>E. 5</w:t>
      </w:r>
    </w:p>
    <w:p>
      <w:r>
        <w:t>Schweizerisches Bundesarchiv, Digitale Amtsdruckschriften Archives fédérales suisses, Publications officielles numérisées Archivio federale svizzero, Pubblicazioni ufficiali digitali JAAC 64.47 - Entscheid der Eidgenössischen Steuerrekurskommission vom 15. Oktober 1999 i.S. M. [SRK 1998-071] In Verwaltungspraxis der Bundesbehörden Dans Jurisprudence des autorités administratives de la Confédération In Giurisprudenza delle autorità amministrative della Confederazione Jahr 2000 Année Anno Band 64 Volume Volume Seite --- Page Pagina Ref. No 150 004 757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