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64.115 vom 8. Juni 2000</w:t>
      </w:r>
    </w:p>
    <w:p>
      <w:r>
        <w:t>Bundesverwaltung, 2000-06-08, DE</w:t>
      </w:r>
    </w:p>
    <w:p>
      <w:r>
        <w:rPr>
          <w:b/>
        </w:rPr>
        <w:t xml:space="preserve">Quelle: </w:t>
      </w:r>
      <w:r>
        <w:t>https://mcp.opencaselaw.ch/entscheid/ch_vb_JAAC_64.115__</w:t>
      </w:r>
    </w:p>
    <w:p>
      <w:r>
        <w:t>FR: CH_VB JAAC 64.115 du 8 juin 2000</w:t>
      </w:r>
    </w:p>
    <w:p>
      <w:r>
        <w:t>IT: CH_VB JAAC 64.115 del 8 giugno 2000</w:t>
      </w:r>
    </w:p>
    <w:p>
      <w:pPr>
        <w:pStyle w:val="Heading2"/>
      </w:pPr>
      <w:r>
        <w:t>Erwägungen</w:t>
      </w:r>
    </w:p>
    <w:p>
      <w:r>
        <w:rPr>
          <w:b/>
        </w:rPr>
        <w:t>E. 1</w:t>
      </w:r>
    </w:p>
    <w:p>
      <w:r>
        <w:t>gewonnenen alkoholischen Erzeugnisse (z.B. Naturwein, Obstwein, Most, Bier, etc.) sind nicht der Alkoholgesetzgebung unterstellt (E. 3b,</w:t>
      </w:r>
    </w:p>
    <w:p>
      <w:r>
        <w:rPr>
          <w:b/>
        </w:rPr>
        <w:t>E. 5</w:t>
      </w:r>
    </w:p>
    <w:p>
      <w:r>
        <w:t>und Herstellung vermindert sowie den Tafelobstbau und die Verwendung der inländischen Brennereirohstoffe als Nahrungs- oder Futtermittel fördert. Eine entsprechende Regelung enthält auch die seit 1. Januar 2000 geltende Bundesverfassung vom 18. April 1999 (BV, SR 101); gemäss deren Art. 105 ist die Gesetzgebung über Herstellung, Einfuhr, Reinigung und Verkauf gebrannter Wasser Sache des Bundes, wobei dieser insbesondere den schädlichen Wirkungen des Alkoholkonsums Rechnung trägt. b. Entsprechend dem verfassungsrechtlichen Auftrag wird in Art. 1 AlkG unter anderem die Einfuhr gebrannter Wasser den Vorschriften des Alkoholgesetzes unterstellt. Art. 2 AlkG umschreibt den Begriff der «gebrannten Wasser». Als solches gilt der Äthylalkohol in jeder Form und ohne Rücksicht auf die Art seiner Herstellung (Art. 2 Abs. 1 AlkG). Die Bestimmungen des Alkoholgesetzes werden weiter auch auf Erzeugnisse, die neben anderen Stoffen gebrannte Wasser enthalten, angewendet (Art. 2 Abs. 3 AlkG). Nur die ausschliesslich durch Vergärung gewonnenen alkoholischen Erzeugnisse sind nicht dem Alkoholgesetz unterstellt (Art. 2 Abs. 2 AlkG). Gemäss Art. 1 Abs. 2 aAlkV gelten als ausschliesslich durch Gärung gewonnene alkoholische Erzeugnisse Getränke mit einem Alkoholgehalt von nicht mehr als 15 Volumenprozenten ohne jeden Zusatz von gebrannten Wassern, wie Naturwein, Obstwein, Most, Bier und ähnliche Erzeugnisse. 4.a. Vorliegend ist zu entscheiden, ob es sich beim Produkt «C.» um ein «gebranntes Wasser» im Sinne der Alkoholgesetzgebung (Art. 2 Abs. 1 AlkG) oder um ein «ausschliesslich durch Vergärung gewonnenes alkoholisches Erzeugnis» (Art. 2 Abs. 2 AlkG) handelt. Diese beiden Gesetzesbestimmungen sind voneinander abzugrenzen und bedürfen dementsprechend der Auslegung. Dabei ist zu berücksichtigen, dass Art. 2 Abs. 1 AlkG die Grundsatzregelung enthält, in der der Gesetzgeber den Begriff der gebrannten Wasser bewusst sehr weit umschrieben hat, während Art. 2 Abs. 2 AlkG im Sinne einer Ausnahme von dem in Abs. 1 geregelten Grundsatz bestimmt, dass ausschliesslich durch Vergärung gewonnene Erzeugnisse nicht der Alkoholgesetzgebung unterstehen. b. Ursache einer Verletzung von Bundesrecht können die falsche Ermittlung des massgeblichen Rechts, die unzutreffende Auslegung oder die unrichtige Anwendung eines Rechtssatzes auf einen bestimmten Sachverhalt sein. Ob dies der Fall ist, ergibt sich aus einer umfassenden Überprüfung der von der Vorinstanz vorgenommenen Auslegung des Rechtssatzes. Für die Normen des Verwaltungsrechts gelten dabei die üblichen Methoden der Gesetzesauslegung. Zur Anwendung gelangen also die grammatikalische, die historische, die zeitgemässe, die systematische und die teleologische Auslegungsmethode (BGE 124 I 196 E. 3c, BGE 123 V 301 E. 6a). Rechtsprechung und Lehre bejahen allgemein den Methodenpluralismus, der keiner Auslegungsmethode einen grundsätzlichen Vorrang zuerkennt (BGE 125 II 333, BGE 124 II 268, BGE 123 III 26). Vielmehr sollen bei der Anwendung auf den einzelnen Fall all jene Methoden zur Anwendung kommen, die im Hinblick auf ein vernünftiges und praktikables Ergebnis am meisten Überzeugungskraft haben (BGE 125 II 179 E. 3). Ziel der Auslegung ist die Ermittlung des Sinngehalts der Norm. Das Gesetz muss in erster Linie aus sich selbst heraus, das heisst nach Wortlaut, Sinn und Zweck und den ihm zugrundeliegenden Wertungen auf der Basis einer teleologischen Verständigungsmethode ausgelegt werden (BGE 125 II 117 E. 3a, BGE 124 III 262 E. 3a). Auszugehen ist vom Wortlaut,</w:t>
      </w:r>
    </w:p>
    <w:p>
      <w:r>
        <w:rPr>
          <w:b/>
        </w:rPr>
        <w:t>E. 6</w:t>
      </w:r>
    </w:p>
    <w:p>
      <w:r>
        <w:t>doch kann der Wortlaut einer Norm nicht allein massgebend sein. Besonders wenn der Text unklar ist oder verschiedene Deutungen zulässt, muss nach seiner wahren Tragweite gesucht werden unter Berücksichtigung weiterer Auslegungselemente, namentlich der Entstehungsgeschichte der Norm und ihres Zwecks. Wichtig ist auch die Bedeutung, die der Norm im Zusammenhang mit anderen Bestimmungen und den Zielvorstellungen des Gesetzgebers zukommt (BGE 125 III 58 E. 2b, BGE 124 II 199 E. 5a). Gegen den klaren, das heisst eindeutigen und unmissverständlichen Wortlaut lässt das Bundesgericht eine Auslegung zu, wenn triftige Gründe dafür vorliegen, dass der Wortlaut nicht den wahren Sinn der Bestimmung wiedergibt (Moser, a.a.O., S. 68 f. Rz. 2.70, mit weiteren Hinweisen). 5.a. Bereits mit Urteil vom 3. Juni 1988 in Sachen H. (A. 352/1987, E. 4c) hat das Bundesgericht festgestellt, dass der Wortlaut von Art. 2 AlkG insofern eindeutig sei, als dem Geltungsbereich des Alkoholgesetzes in umfassender Weise der Äthylalkohol in jeder Form und ausdrücklich ohne Rücksicht auf die Art seiner Herstellung unterstellt werde. Unter Verweis auf die Materialien und die parlamentarischen Beratungen hielt das Bundesgericht weiter fest, dass eine solch umfassende Unterstellung auch Sinn und Zweck der Alkoholgesetzgebung entspreche, sei doch eines der Hauptziele des Alkoholgesetzes die Verminderung des Alkoholkonsums im Interesse der Volksgesundheit. Insbesondere ergebe sich aus den Materialien, dass dem Anwendungsbereich des Gesetzes grundsätzlich alle zu Trinkzwecken geeigneten alkoholischen Erzeugnisse unterstellt werden sollten, da man insbesondere an die Möglichkeit synthetischer Herstellung von Alkohol gedacht habe. b. Nach dem Wortlaut des Gesetzes sind einzig die «ausschliesslich durch Vergärung gewonnenen alkoholischen Erzeugnisse» der Alkoholgesetzgebung nicht unterstellt. Art. 1 Abs. 2 aAlkV führt als Beispiele solcher Erzeugnisse Natur- und Obstwein sowie Most und Bier auf. Diese Getränke sind zweifellos als klassische Beispiele von Erzeugnissen im Sinne von Art. 2 Abs. 2 AlkG zu bezeichnen. Unbestrittenermassen dürfen allerdings auch solche klassischen vergorenen Getränke in bestimmter Weise behandelt werden. So wird beispielsweise dem Bier Hopfen beigegeben oder Wein mit Schwefel behandelt, über Filter z.B. aus Kieselgur oder Zellstoff abgezogen und allenfalls auch mit unvergorenem Most oder anderen fertigen Weinen verschnitten. In welcher Weise ein Produkt behandelt werden darf, ohne dadurch die Qualifikation als «ausschliesslich durch Vergärung gewonnenes alkoholisches Erzeugnis» zu verlieren, lässt sich jedoch nicht allein aufgrund des Wortlauts des Gesetzes entscheiden. Zur Definition dieses Begriffs sind deshalb neben der grammatikalischen Auslegung auch andere Auslegungsmethoden heranzuziehen. 6.a. Bei der systematischen Auslegung wird der Sinn einer Rechtsnorm bestimmt durch ihr Verhältnis zu anderen Rechtsnormen und durch den systematischen Zusammenhang, in dem sie sich in einem Gesetz präsentiert. Neben dem systematischen Aufbau im Gesetz selbst kann auch das Verhältnis einer Norm zu Vorschriften in einem anderen Erlass berücksichtigt werden (Ulrich Häfelin/Walter Haller, Schweizerisches Bundesstaatsrecht, 4. Aufl., Zürich 1998, S. 30 Rz. 82 f.; Ulrich Häfelin/Walter Haller, Schweizerisches Bundesstaatsrecht, Supplement zur 4. Aufl., «Die neue Bundesverfassung», Zürich 2000, S. 5 f.). Im Interesse der Einheitlichkeit des Bundesrechts können</w:t>
      </w:r>
    </w:p>
    <w:p>
      <w:r>
        <w:rPr>
          <w:b/>
        </w:rPr>
        <w:t>E. 7</w:t>
      </w:r>
    </w:p>
    <w:p>
      <w:r>
        <w:t>zur Auslegung eines in einem bestimmten Gesetzesartikel enthaltenen Begriffs auch andere Gesetze, die denselben Begriff verwenden, herangezogen werden (vgl. BGE 117 Ib 314). b. Alkoholische Getränke werden in Art. 3 des Bundesgesetzes vom 9. Oktober 1992 über Lebensmittel und Gebrauchsgegenstände (Lebensmittelgesetz [LMG], SR 817.0) als Lebensmittel definiert und in den Kap. 36 - 39 der Lebensmittelverordnung (Art. 366-432 LMV) eingehend geregelt. Dabei befasst sich das 39. Kap. (Art. 399 ff. LMV) mit den Spirituosen und den Getränken auf der Basis von Spirituosen, während in den Kap. 36 - 38 Regelungen zu den übrigen alkoholischen Getränken enthalten sind. Es wird unterschieden zwischen Wein und weinhaltigen Getränken (36. Kap., Art. 366 ff. LMV), Obst- und Fruchtwein sowie Getränken aus Obst- oder Fruchtwein (37. Kap., Art. 378 ff. LMV) und Bier (38. Kap., Art. 394 ff. LMV). Nachdem «C.» auf einer Basis von 85% Apfelwein hergestellt wird, sind vorliegend insbesondere die Bestimmungen des 37. Kap. (Art. 378 ff. LMV) näher zu betrachten. - Obstwein ist gemäss Art. 378 LMV ein alkoholhaltiges Getränk, das aus frisch gepresstem oder physikalisch haltbar gemachtem Apfelsaft oder Birnensaft durch eine teilweise oder vollständige alkoholische Gärung gewonnen worden ist. Der Alkoholgehalt muss mindestens drei Volumenprozent betragen; gestattet ist die Zugabe von Apfel- oder Birnensaft, Zucker oder Zuckerarten für die Nachgärung zur Herstellung von Obstschaumwein sowie Kohlendioxyd (Art. 379 LMV). - Verdünnter Obstwein ist Obstwein, der mit Trinkwasser verdünnt oder durch alkoholische Gärung von verdünntem Apfel- oder verdünntem Birnensaft hergestellt wurde (Art. 382 LMV). Dabei muss der Obstweinanteil im Enderzeugnis mindestens 70 Massenprozent und der Alkoholgehalt mehr als zwei Volumenprozent betragen; gestattet ist die Zugabe von Apfel- oder Birnensaft sowie Kohlendioxyd (Art. 383 LMV). - Getränke aus Obst- oder Fruchtwein sind Getränke, die als Hauptbestandteil Obst- oder Fruchtwein enthalten und denen Zutaten wie Trinkwasser, natürliches Mineralwasser, Fruchtsäfte, Spirituosen, Zucker, Zuckerarten oder Honig sowie Auszüge von aromatischen Pflanzen oder Pflanzenteilen oder natürliche oder naturidentische Aromen zugegeben werden können. Der Gehalt an Obst- oder Fruchtwein im Enderzeugnis muss mindestens 50 Massenprozent betragen (Art. 393 LMV). c. Das Produkt «C.» besteht aus 85% Apfelwein, 7% konzentriertem Cassissaft, 6% Honig, 1,5% konzentriertem Zitronensaft und 0,5% Cassisaroma. Nach der Lebensmittelgesetzgebung ist es damit zweifellos als Getränk aus Obstwein im Sinne von Art. 393 LMV zu qualifizieren. Damit ist aber noch nichts über seine Qualifikation als «ausschliesslich durch Vergärung gewonnenes alkoholisches Erzeugnis» im Sinne der Alkoholgesetzgebung gesagt. Gemäss Art. 393 Abs. 1 LMV gilt nämlich auch ein Getränk aus Obst- oder Fruchtwein, dem Spirituosen zugegeben wurden, als Getränk aus Obstwein; ein solches fällt also nicht in die Kategorie der Spirituosen bzw. der Getränke auf Spirituosenbasis, die im 39. Kap. (Art. 399 ff. LMV) geregelt sind. Nach Art. 2 Abs. 3 AlkG untersteht demgegenüber ein Getränk aus Obst- oder Fruchtwein, dem</w:t>
      </w:r>
    </w:p>
    <w:p>
      <w:r>
        <w:rPr>
          <w:b/>
        </w:rPr>
        <w:t>E. 8</w:t>
      </w:r>
    </w:p>
    <w:p>
      <w:r>
        <w:t>Spirituosen beigemischt wurden, zweifellos der Alkoholgesetzgebung, handelt es sich doch dabei um ein Erzeugnis, das neben anderen Stoffen gebrannte Wasser enthält. d. Der Begriff der Getränke, die durch alkoholische Gärung gewonnen werden, wie er von der Lebenmittelgesetzgebung definiert wird, stimmt somit nicht mit dem Begriff der «ausschliesslich durch Vergärung gewonnenen alkoholischen Erzeugnisse» im Sinne von Art. 2 Abs. 2 AlkG überein. Auch die systematische Auslegungsmethode führt somit nicht zu einer eindeutigen Definition dieses Begriffs. 7.a. Der Wortlaut einer Norm soll nicht isoliert, sondern im Zusammenhang mit den Zielvorstellungen des Gesetzgebers betrachtet werden. Dabei ist aber nicht allein der Zweck, den der historische Gesetzgeber einer Norm gegeben hat, massgeblich; vielmehr kann sich der Zweck einer Norm in gewissem Rahmen wandeln und von zeitgebundenen historischen Vorstellungen abheben. Die teleologische Auslegung kann sich also sowohl mit der historischen wie auch mit der zeitgemässen Auslegung verbinden (Häfelin/Haller, Schweizerisches Bundesstaatsrecht, S. 35 Rz. 100). Die Regelungsabsicht des Gesetzgebers vermag allein die an den Materialien orientierte Auslegung aufzuzeigen. Diese Regelungsabsicht und die vom Gesetzgeber in Verfolgung dieser Absicht erkennbar getroffenen Wertentscheidungen bleiben für den Richter verbindliche Richtschnur, auch wenn er das Gesetz mittels teleologischer Auslegung oder Rechtsfortbildung neuen, vom Gesetzgeber nicht vorausgesehenen Umständen anpasst oder es ergänzt (BGE 114 Ia 196 f.). b. In Bezug auf die Alkoholgesetzgebung ergeben sich die Zielvorstellungen des Gesetzgebers ohne weiteres unmittelbar aus dem dieser zugrunde liegenden Verfassungsartikel. Gemäss Art. 32bis aBV ist die Gesetzgebung so zu gestalten, dass sie den Verbrauch von Trinkbranntwein und dementsprechend dessen Einfuhr und Herstellung vermindert. Historischer Hintergrund dieser Verfassungsbestimmung bildete der um die Jahrhundertwende massiv gestiegene Konsum von aus Äpfeln und Birnen hergestelltem Trinkbranntwein, nachdem der damalige Verfassungsartikel nur die Herstellung und den Konsum von Kartoffelbranntwein regelte. Die aus diesem übermässigen Verbrauch von Branntwein resultierenden sozialen Folgen zwangen den Verfassungsgeber zum Handeln (vgl. dazu Jean-François Aubert, in Kommentar zur Bundesverfassung der Schweizerischen Eidgenossenschaft vom 29. Mai 1874 [Kommentar BV], Loseblatt, Art. 32bis, Rz. 11-15). Der hauptsächliche Zweck der Alkoholgesetzgebung liegt somit im Schutz der öffentlichen Gesundheit. Die übrigen ausdrücklichen oder stillschweigenden Zwecke sind zweitrangig (vgl. Aubert, a.a.O., Art. 32bis, Rz. 58). Denselben Zweck verfolgt auch Art. 105 BV, gemäss dessen Satz 2 der Bund insbesondere den schädlichen Wirkungen des Alkoholkonsums Rechnung zu tragen hat. An dieser eindeutigen und unmissverständlichen Zielvorstellung des Verfassungs- und Gesetzgebers hat sich die Auslegung von Art. 2 Abs. 1 und 2 AlkG zu orientieren. Dies erfordert insbesondere auch den Einbezug veränderter Umstände und neuer Entwicklungen im Bereich der alkoholischen Getränke, wie dies der Bundesrat seinerzeit im französischen Text der Botschaft zum</w:t>
      </w:r>
    </w:p>
    <w:p>
      <w:r>
        <w:rPr>
          <w:b/>
        </w:rPr>
        <w:t>E. 9</w:t>
      </w:r>
    </w:p>
    <w:p>
      <w:r>
        <w:t>Alkoholgesetz deutlich zum Ausdruck brachte: «La future législation sur l’alcool ne doit pas être une oeuvre à courte vue, mais un acte constructif susceptible de développement» (BBl 1931 I 377). c. Solche veränderten Umstände bzw. neuen Entwicklungen liegen nach Meinung der EAV in Bezug auf die sogenannten Alcopops vor. Alcopops seien Mischgetränke, die zur Hauptsache aus Fruchtsaft, Zucker, Gäralkohol oder destilliertem Alkohol sowie Aromen bestünden. Diese wiesen einen Alkoholgehalt von 4 - 5 Volumenprozent auf und seien aufgrund ihres süssen Grundgeschmacks, der den Alkohol überdecke, bei jugendlichen Konsumenten sehr beliebt. Sie würden daher wegen ihres gefälligen Geschmacks häufig als Durstlöscher konsumiert. Design der Getränkeverpackung und Marketing seien ganz auf die Bedürfnisse der jugendlichen Konsumenten abgestimmt. Gemäss einer von der Schweizerischen Fachstelle für Alkohol- und andere Drogenprobleme im Auftrag des Bundesamtes für Gesundheit durchgeführten «Marktanalyse alkoholischer Mischgetränke» habe sich seit 1996 der Konsum solcher Getränke in besorgniserregender Weise vervielfacht. Dies bestätigen verschiedene weitere von der EAV eingereichte Studien und Berichte. Dabei wird insbesondere festgestellt, dass alkoholische Mixgetränke für Jugendliche eine Einstiegsdroge in den Alkoholbereich darstellen würden (Blaues Kreuz, Kantonalverband Zürich / SuchtInfo, Zürich, Trend-Drinks: Eine Umfrage bei Jugendlichen im Kanton Zürich über ihre Konsumgewohnheiten bei alkoholhaltigen Limonaden, S. 3). Auch die «Marktanalyse alkoholischer Mischgetränke» der Schweizerischen Fachstelle für Alkohol- und andere Drogenprobleme kommt zum Schluss, dass die Alkoholindustrie aufgrund des allgemeinen Rückgangs des Alkoholkonsums mit der Entwicklung neuer Getränke neue Märkte zu erschliessen versucht. Seit der Einführung der Alcopops sei der Konsum alkoholischer Getränke von Jugendlichen stark angestiegen, ohne dass diese Zunahme beim Konsum zu Lasten herkömmlicher alkoholischer Getränke stattgefunden habe. Diese Entwicklung bewog denn auch die Geschäftsprüfungskommission des Nationalrates dazu, am 20. November 1997 mit einem Schreiben an Bundesrätin Ruth Dreifuss, der Vorsteherin des Eidgenössischen Departementes des Innern, ihre Besorgnis über den Alkoholkonsum von Jugendlichen zum Ausdruck zu bringen. Der Bundesrat wurde in diesem Schreiben aufgefordert, weitere Anstrengungen zur Eindämmung des Alkoholkonsums von Jugendlichen zu unternehmen, insbesondere den Vollzug der Alkoholgesetzgebung der Kantone und des Bundes strenger zu kontrollieren sowie zu prüfen, ob im Lebensmittelgesetz eine Bestimmung einzuführen sei, welche jegliche Abgabe alkoholischer Getränke an Jugendliche unter 18 Jahren verbiete. d. Die ALKRK hat mit Entscheid vom 16. August 1999 in Sachen P. SA [ALKRK 1998-008] festgehalten, dass der Gesetzgeber den Begriff der gebrannten Wasser in einem weiten Sinne verstanden haben wollte, um sämtliche Fabrikationsmethoden zu erfassen, auch solche, die beim Erlass des Alkoholgesetzes noch nicht existierten (E. 6f). Somit entspreche die Unterstellung von Alcopops unter die Alkoholgesetzgebung vollumfänglich Sinn und Zweck des Alkoholgesetzes. Wenn der Verfassungs- bzw. der Gesetzgeber aus im Wesentlichen politischen Gründen entschieden hätten, ausschliesslich durch Vergärung gewonnene alkoholische Erzeugnisse von der Alkoholgesetzgebung auszunehmen, habe er dies im Hinblick auf die dannzumal einzig bekannten Getränke wie Wein, Bier und Most</w:t>
      </w:r>
    </w:p>
    <w:p>
      <w:r>
        <w:rPr>
          <w:b/>
        </w:rPr>
        <w:t>E. 10</w:t>
      </w:r>
    </w:p>
    <w:p>
      <w:r>
        <w:t>getan, also Getränke, die im Allgemeinen wegen ihres ausgeprägten und bitteren Geschmacks nicht von Jugendlichen konsumiert würden (E. 6e). Diese Getränke würden durch eine traditionelle Gärung von Rohstoffen in ihrer ursprünglichen Form oder deren Saft ohne zusätzliche technische Behandlung, ausgenommen bestimmter für solche Produkte anerkannten Methoden, gewonnen und dadurch ihren charakteristischen Geschmack beibehalten. Anders verhalte es sich bei einem Getränk, dessen Basis aus einer geringfügigen Menge natürlichen Zitronensafts bestehe, der mit Zucker vergoren und dem anschliessend Wasser und Aromen beigefügt würden. Ein solches Produkt könne weder als Obstwein noch als Getränk aus Obstwein im Sinne der LMV qualifiziert werden. Das Endprodukt werde nicht mehr durch die vergorenen Rohstoffe charakterisiert; vielmehr werde sein Geschmack durch die beigefügten Zusätze bestimmt. Diese würden dem Getränk seinen Charakter verleihen, wobei die Alkoholbasis durch einen beliebigen neutralen Alkohol ersetzt werden könnte ( E. 5b und c). Die ALKRK kam daher zum Schluss, dass der betreffende Alcopop kein ausdrücklich durch Vergärung gewonnenes alkoholisches Erzeugnis im Sinne von Art. 2 Abs. 2 AlkG bzw. Art. 1 Abs. 2 aAlkV darstelle, weshalb auf dessen Einfuhr zu Recht die Monopolgebühr erhoben worden sei. 8.a. Die EAV macht geltend, bei «C.» handle es sich um einen Alcopop im Sinne der zitierten Rechtsprechung. Dieses Produkt unterstehe daher der Alkoholgesetzgebung. Gemäss der erwähnten Marktanalyse der Schweizerischen Fachstelle für Alkohol- und andere Drogenprobleme zeichnen sich Alcopops durch folgende Merkmale aus (S. 5): - Der Geschmack muss Jugendliche ansprechen, weshalb Alcopops häufig fruchtig, süss oder süffig sind. - Der Marktauftritt muss poppig, bunt und frech sein, weshalb viele Alcopops comic-ähnliche Flaschenetiketten haben. - Die klassische Anzeigenwerbung wird durch die Präsenz an von Jugendlichen frequentierten Veranstaltungen ersetzt und es werden «Events» geschaffen, um für Designerdrinks zu werben. - Die Getränke müssen an Orten erhältlich sein, an denen Jugendliche ihre Freizeit verbringen; nur ein sehr geringer Anteil am Gesamtumsatz wird im Detailhandel erzielt. - Die Preise müssen für Jugendliche erschwinglich sein, das heisst im Bereich von Fr. 2.50 bis Fr. 3.50 für 3 dl. - Alcopops sollen bei Jugendlichen den Eindruck erwecken, sie seien speziell für sie gemacht worden. Erwachsene kämen kaum mit der Werbung für Alcopops in Berührung und hätten aufgrund ihres Konsumverhaltens nur eingeschränkte Möglichkeiten, solche zu erwerben. b. «C.» wird von der Firma B. in Frankreich hergestellt. Dieses Unternehmen befasst sich gemäss Firmenprospekt primär mit der Produktion und Vermarktung von Apfelsaft, weiter mit der Abfüllung und Vermarktung von Traubensaft sowie Orangen-, Ananas- und Grapefruitgetränken. Eine Spezialität ihres Angebotes stellt der «Cidre Bouché», ein Schaumwein auf der Basis von Apfelsaft, dar. «C.» wurde als neuartiges Produkt im</w:t>
      </w:r>
    </w:p>
    <w:p>
      <w:r>
        <w:rPr>
          <w:b/>
        </w:rPr>
        <w:t>E. 11</w:t>
      </w:r>
    </w:p>
    <w:p>
      <w:r>
        <w:t>Jahre 1984 kreiert; es wird seit 1987 auf dem Markt angeboten. In der Schweiz wird es durch die Firma M., die Artikel für Bienenzüchter vertreibt, verkauft; dies im Hinblick auf den in «C.» enthaltenen Honig und der damit gegebenen Beziehungsnähe zu ihrem Hauptangebot. Neben der Aufführung im Produktekatalog wird keine weitere Werbung betrieben. «C.» wird in einer 75cl-Flasche verkauft, die sich in Form und Aufmachung an eine Champagnerflasche anlehnt. Die Etikette ist dezent in den Farben Schwarz, Gold und Bordeaux gehalten. In Verbindung mit dem rot-goldenen Verschluss ergibt sich ein elegantes, festliches Erscheinungsbild. Ganz offensichtlich soll eine Assoziation zu Champagner hergestellt werden. Das Getränk selbst ist moussierend und süsslich mit einem leichten Cassis-Geschmack; es weist eine gewisse Ähnlichkeit mit einem «Kir Royal» auf. c. Eine Prüfung von «C.» im Hinblick auf die für Alcopops charakteristischen Merkmale ergibt, dass bei «C.» keines dieser Merkmale erfüllt ist. Die gesamte Aufmachung entspricht in keiner Weise einem Alcopop, sondern will offensichtlich ein ganz anderes Käufersegment als Jugendliche im Alter von etwa 12 - 16 Jahren ansprechen. Dies ergibt sich auch aus dem Preis von Fr. 16.- pro Flasche (ohne Monopolgebühr), der für jugendliche Konsumenten mit ihrem ausgeprägtem Preisbewusstsein kaum attraktiv sein dürfte. Ebenso wenig kann der Geschmack von «C.» mit demjenigen eines Alcopops verglichen werden. Schliesslich sprechen auch der Umstand, dass «C.» bereits rund zehn Jahre vor dem Erscheinen von Alcopops auf dem Markt erhältlich war, die Art und Weise seines Vertriebs sowie die praktisch fehlende Werbung gegen seine Qualifikation als Alcopop. Nachdem «C.» zu 85% aus Apfelwein besteht, dem einzig natürliche Zusätze wie Cassissaft, Honig und Zitronensaft beigegeben werden, kann es als ausschliesslich durch Vergärung gewonnenes alkoholisches Erzeugnis im Sinne von Art. 2 Abs. 2 AlkG und Art. 1 Abs. 2 aAlkV qualifiziert werden. Einer solchen Qualifikation stehen weder Wortlaut und Systematik noch Sinn und Zweck dieser Bestimmungen entgegen. Demnach untersteht «C.» nicht den Bestimmungen der Alkoholgesetzgebung, womit auch die Erhebung einer Monopolgebühr bei der Einfuhr entfällt.</w:t>
      </w:r>
    </w:p>
    <w:p>
      <w:r>
        <w:rPr>
          <w:b/>
        </w:rPr>
        <w:t>E. 12</w:t>
      </w:r>
    </w:p>
    <w:p>
      <w:r>
        <w:t>Schweizerisches Bundesarchiv, Digitale Amtsdruckschriften Archives fédérales suisses, Publications officielles numérisées Archivio federale svizzero, Pubblicazioni ufficiali digitali JAAC 64.115 - Entscheid der Eidgenössischen Alkoholrekurskommission vom 8. Juni 2000 i. S. X. AG [ALKRK 1999-009] In Verwaltungspraxis der Bundesbehörden Dans Jurisprudence des autorités administratives de la Confédération In Giurisprudenza delle autorità amministrative della Confederazione Jahr 2000 Année Anno Band 64 Volume Volume Seite --- Page Pagina Ref. No 150 004 505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