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64.101 vom 17. Mai 2000</w:t>
      </w:r>
    </w:p>
    <w:p>
      <w:r>
        <w:t>Bundesverwaltung, 2000-05-17, DE</w:t>
      </w:r>
    </w:p>
    <w:p>
      <w:r>
        <w:rPr>
          <w:b/>
        </w:rPr>
        <w:t xml:space="preserve">Quelle: </w:t>
      </w:r>
      <w:r>
        <w:t>https://mcp.opencaselaw.ch/entscheid/ch_vb_JAAC_64.101__</w:t>
      </w:r>
    </w:p>
    <w:p>
      <w:r>
        <w:t>FR: CH_VB JAAC 64.101 du 17 mai 2000</w:t>
      </w:r>
    </w:p>
    <w:p>
      <w:r>
        <w:t>IT: CH_VB JAAC 64.101 del 17 maggio 2000</w:t>
      </w:r>
    </w:p>
    <w:p>
      <w:pPr>
        <w:pStyle w:val="Heading2"/>
      </w:pPr>
      <w:r>
        <w:t>Erwägungen</w:t>
      </w:r>
    </w:p>
    <w:p>
      <w:r>
        <w:rPr>
          <w:b/>
        </w:rPr>
        <w:t>E. 1</w:t>
      </w:r>
    </w:p>
    <w:p>
      <w:r>
        <w:t>3.4.1. Es war in der Tat ausdrücklicher Wille des Gesetzgebers, dass eidgenössische Abstimmungserläuterungen als Regierungsakt der Abstimmungsbeschwerde entzogen (AB 1976 S 518) und dass sie statt dessen der politischen Kritik ausgesetzt bleiben sollten. Die Praxis hat dies mannigfach bestätigt (vgl. VPB 44.2; BGE vom 3. Februar 1992 i.S. Sch., in: Schweizerisches Zentralblatt für Staats- und Verwaltungsrecht [ZBl] 93 [1992] S. 308 ff., aber auch die nicht publizierten Entscheide des Bundesgerichts vom 23. September 1992 i.S. B. betreffend Erläuterungen zur Volksabstimmung vom 27. September 1992 über den Alpentransit-Beschluss, vom 11. September 1997 i.S. S. betreffend Erläuterungen zur Volksabstimmung vom 28. September 1997 über den Bundesbeschluss über die Finanzierung der Arbeitslosenversicherung und vom 6. Oktober 1997 i.S. C. betreffend Erläuterungen zur Volksabstimmung vom 8. Juni 1997 über die Volksinitiative «EU-Beitrittsverhandlungen vors Volk!»). 3.4.2. Auch die Doktrin teilt diese Analyse (vgl. etwa Jean-François Aubert, Bundesstaatsrecht der Schweiz, Bd. II, Basel/Frankfurt am Main 1995, S. 982 ad Rz. 1101 mit Fn. 23, S. 991 ad Rz. 1132 Fn. 89 und S. 1004 Rz. 1218; Walter Buser, Rechtliche Aspekte der amtlichen Abstimmungserläuterung, in: Festschrift 500 Jahre Solothurn im Bund, Solothurn 1981, S. 111 f.; Étienne Grisel, Initiative et référendum populaires, Traité de la démocratie semi-directe en droit suisse,</w:t>
      </w:r>
    </w:p>
    <w:p>
      <w:r>
        <w:rPr>
          <w:b/>
        </w:rPr>
        <w:t>E. 2</w:t>
      </w:r>
    </w:p>
    <w:p>
      <w:r>
        <w:t>Schweizerisches Bundesarchiv, Digitale Amtsdruckschriften Archives fédérales suisses, Publications officielles numérisées Archivio federale svizzero, Pubblicazioni ufficiali digitali JAAC 64.101 - Entscheid des Bundesrates vom 17. Mai 2000 i.S. E. und Cons. In Verwaltungspraxis der Bundesbehörden Dans Jurisprudence des autorités administratives de la Confédération In Giurisprudenza delle autorità amministrative della Confederazione Jahr 2000 Année Anno Band 64 Volume Volume Seite --- Page Pagina Ref. No 150 004 460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