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64.100 vom 17. Mai 2000</w:t>
      </w:r>
    </w:p>
    <w:p>
      <w:r>
        <w:t>Bundesverwaltung, 2000-05-17, DE</w:t>
      </w:r>
    </w:p>
    <w:p>
      <w:r>
        <w:rPr>
          <w:b/>
        </w:rPr>
        <w:t xml:space="preserve">Quelle: </w:t>
      </w:r>
      <w:r>
        <w:t>https://mcp.opencaselaw.ch/entscheid/ch_vb_JAAC_64.100__</w:t>
      </w:r>
    </w:p>
    <w:p>
      <w:r>
        <w:t>FR: CH_VB JAAC 64.100 du 17 mai 2000</w:t>
      </w:r>
    </w:p>
    <w:p>
      <w:r>
        <w:t>IT: CH_VB JAAC 64.100 del 17 maggio 2000</w:t>
      </w:r>
    </w:p>
    <w:p>
      <w:pPr>
        <w:pStyle w:val="Heading2"/>
      </w:pPr>
      <w:r>
        <w:t>Volltext</w:t>
      </w:r>
    </w:p>
    <w:p>
      <w:r>
        <w:t>JAAC 64.100 Entscheid des Bundesrates vom 17. Mai 2000 i.S. W. Votation populaire fédérale du 21 mai 2000 sur les Accords bilatéraux. Fixation de la date de la votation. Art. 10 al. 1 LDP. La fixation de la date de la votation par le Conseil fédéral ne peut faire l’objet d’aucun recours. Eidgenössische Volksabstimmung vom 21. Mai 2000 über die Bilateralen Verträge. Ansetzung des Abstimmungstermins. Art. 10 Abs. 1 BPR. Gegen die Ansetzung des Abstimmungstermins durch den Bundesrat steht kein Rechtsmittel zur Verfügung. Votazione popolare federale del 21 maggio 2000 sugli Accordi bilaterali. Fissazione del giorno della votazione. Art. 10 cpv. 1 LDP. Contro la fissazione del giorno della votazione da parte del Consiglio federale non è dato alcun rimedio giuridico. 3.4. Zur Ansetzung des Abstimmungstermins ist allein der Bundesrat zuständig (Art. 10 Abs. 1 des Bundesgesetzes vom 17. Dezember 1976 über die politischen Rechte [BPR], SR 161.1). Gegen diesen Entscheid steht kein Rechtsmittel offen (vgl. Jean-François Aubert, Bundesstaatsrecht der Schweiz, Bd. II, Basel / Frankfurt am Main 1995, S. 982 ad Rz. 1101; Étienne Grisel, Initiative et référendum populaires, Traité de la démocratie semi-directe en droit suisse, 2. Aufl., Bern 1997, S. 97-99 N. 212-219; Christoph Hiller, Die Stimmrechtsbeschwerde [Zürcher Studien zum öffentlichen Recht, 1</w:t>
      </w:r>
    </w:p>
    <w:p>
      <w:r>
        <w:t>96], Zürich 1990, S. 19 f. und S. 38; Jörg Paul Müller, Grundrechte in der Schweiz im Rahmen der Bundesverfassung von 1999, der UNO-Pakte und der EMRK, 3. Aufl., Bern1999, S. 379 f.; Christoph Winzeler, Die politischen Rechte des Aktivbürgers nach schweizerischem Bundesrecht [Basler Studien zur Rechtswissenschaft. Reihe B: Öffentliches Recht, 10], Basel / Frankfurt am Main 1983, S. 154; nicht publizierte Entscheide des Bundesgerichts vom 17. November 1992 i.S. P. und S. sowie vom 27. November 1992 i.S. Union pour la Démocratie Directe Universelle [E. 3] betreffend Ansetzung der Volksabstimmung vom 6. Dezember 1992 über den EWR-Beitritt der Schweiz). Der Nichteintretensentscheid der Vorinstanz ist begründet durch die fehlende Kompetenz der Kantonsregierung, Regierungsakte des Bundesrates zu beurteilen. 2</w:t>
      </w:r>
    </w:p>
    <w:p>
      <w:r>
        <w:t>Schweizerisches Bundesarchiv, Digitale Amtsdruckschriften Archives fédérales suisses, Publications officielles numérisées Archivio federale svizzero, Pubblicazioni ufficiali digitali JAAC 64.100 - Entscheid des Bundesrates vom 17. Mai 2000 i.S. W. In Verwaltungspraxis der Bundesbehörden Dans Jurisprudence des autorités administratives de la Confédération In Giurisprudenza delle autorità amministrative della Confederazione Jahr 2000 Année Anno Band 64 Volume Volume Seite --- Page Pagina Ref. No 150 004 457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