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63.65 vom 28. Januar 1998</w:t>
      </w:r>
    </w:p>
    <w:p>
      <w:r>
        <w:t>Bundesverwaltung, 1998-01-28, DE</w:t>
      </w:r>
    </w:p>
    <w:p>
      <w:r>
        <w:rPr>
          <w:b/>
        </w:rPr>
        <w:t xml:space="preserve">Quelle: </w:t>
      </w:r>
      <w:r>
        <w:t>https://mcp.opencaselaw.ch/entscheid/ch_vb_JAAC_63.65__</w:t>
      </w:r>
    </w:p>
    <w:p>
      <w:r>
        <w:t>FR: CH_VB JAAC 63.65 du 28 janvier 1998</w:t>
      </w:r>
    </w:p>
    <w:p>
      <w:r>
        <w:t>IT: CH_VB JAAC 63.65 del 28 gennaio 1998</w:t>
      </w:r>
    </w:p>
    <w:p>
      <w:pPr>
        <w:pStyle w:val="Heading2"/>
      </w:pPr>
      <w:r>
        <w:t>Erwägungen</w:t>
      </w:r>
    </w:p>
    <w:p>
      <w:r>
        <w:rPr>
          <w:b/>
        </w:rPr>
        <w:t>E. 1</w:t>
      </w:r>
    </w:p>
    <w:p>
      <w:r>
        <w:t>Die Verfügungen der ETHZ vom 23. Juni 1998 und vom 22. Juli 1998 sind Verfügungen im Sinne von Art. 5 des Verwaltungsverfahrensgesetzes (VwVG, SR 172.021). Die Beschwerdeführerin ist zur Beschwerde gegen diese Verfügungen legitimiert, da sie durch sie berührt ist und ein schutzwürdiges Interesse an deren Aufhebung oder Änderung hat (Art. 48 Bst. a VwVG). Die Beschwerden wurden innerhalb der von Art. 50 VwVG vorgeschriebenen 30tägigen Frist eingereicht. Der ETH-Rat ist die zuständige Rechtsmittelbehörde (Art. 39 der Angestelltenordnung vom 10. November 1959 [AngO], SR 172.221.104). Auf das Dienstverhältnis der Beschwerdeführerin als ständiger Angestellter ist die AngO anwendbar.</w:t>
      </w:r>
    </w:p>
    <w:p>
      <w:r>
        <w:rPr>
          <w:b/>
        </w:rPr>
        <w:t>E. 2</w:t>
      </w:r>
    </w:p>
    <w:p>
      <w:r>
        <w:t>Der Angestellten wird die Ernennung mit einer Verfügung eröffnet (Art. 7 Abs. 1 AngO). Im Bund ist neuerdings unter bestimmten Voraussetzungen aber auch der Abschluss eines öffentlichrechtlichen Arbeitsvertrages zulässig (vgl. die Verordnung über den öffentlichrechtlichen Arbeitsvertrag in der allgemeinen Bundesverwaltung vom 9. Dezember 1996, SR 172.221.104.6). Laut Art. 8 Abs. 1 AngO ist die Dauer des Dienstverhältnisses unbestimmt. Sie kann im Anstellungsschreiben unter Angabe des Auflösungsgrundes befristet werden; in diesem Fall erübrigt sich eine Kündigung. Abs. 2 Bst. a hält fest,</w:t>
      </w:r>
    </w:p>
    <w:p>
      <w:r>
        <w:rPr>
          <w:b/>
        </w:rPr>
        <w:t>E. 5</w:t>
      </w:r>
    </w:p>
    <w:p>
      <w:r>
        <w:t>dass, soweit in besonderen Fällen nicht längere Fristen vorgesehen sind, das Dienstverhältnis mit einer ständigen Angestellten (unter Vorbehalt der hier nicht anwendbaren Abs. 3 und 4) von beiden Seiten unter Angabe der Gründe schriftlich gekündigt werden kann, wobei gewisse Fristen einzuhalten sind. Da die AngO eine einseitige Beendigung des Dienstverhältnisses sowohl durch die Wahlbehörde als auch durch die Angestellte vorsieht, spricht nichts gegen die Gültigkeit einer Vereinbarung zur Auflösung des Dienstverhältnisses, in der die Parteien sich über die Beendigung des Dienstverhältnisses und deren Modalitäten einigen. Dieser Schluss steht im Einklang mit der heutigen Lehre und Rechtsprechung, die grundsätzlich die Zulässigkeit verwaltungsrechtlicher Verträge anerkennen (Häfelin/Müller, Grundriss des Allgemeinen Verwaltungsrechts, n° 858). Die Vereinbarung der Parteien vom 13. März 1998 ist daher zulässig. Sie ist auch gültig, ohne dass im vorliegenden Fall zu entscheiden wäre, ob der Abschluss eines verwaltungsrechtlichen Vertrags der Schriftform bedarf oder nicht, denn sie ist von den Parteien unterzeichnet worden (Häfelin/Müller, a.a.O. n° 887, mit Nachweisen). 3. Die Beschwerdegegnerin macht geltend, die Beschwerdeführerin habe vom Vertrag vom 13. März 1998 zurücktreten wollen und die Kündigung verlangt. Die Beschwerdeführerin bestreitet dies. Es ist schwer einzusehen, weshalb die Beschwerdeführerin die Aufhebung einer für sie günstigen Vereinbarung und die Kündigung durch die Wahlbehörde verlangt haben sollte. Ausserdem hat die Beschwerdegegnerin am 14. Juli 1998, also nach der umstrittenen Kündigung vom 23. Juni 1998, das Lohnbüro angewiesen, der Beschwerdeführerin Fr. 15 000.- für berufliche Weiterbildung zu überweisen, wie es Ziff. 3 der fraglichen Vereinbarung vorsieht.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