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63.50 vom 18. November 1998</w:t>
      </w:r>
    </w:p>
    <w:p>
      <w:r>
        <w:t>Bundesverwaltung, 1998-11-18, DE</w:t>
      </w:r>
    </w:p>
    <w:p>
      <w:r>
        <w:rPr>
          <w:b/>
        </w:rPr>
        <w:t xml:space="preserve">Quelle: </w:t>
      </w:r>
      <w:r>
        <w:t>https://mcp.opencaselaw.ch/entscheid/ch_vb_JAAC_63.50__</w:t>
      </w:r>
    </w:p>
    <w:p>
      <w:r>
        <w:t>FR: CH_VB JAAC 63.50 du 18 novembre 1998</w:t>
      </w:r>
    </w:p>
    <w:p>
      <w:r>
        <w:t>IT: CH_VB JAAC 63.50 del 18 novembre 1998</w:t>
      </w:r>
    </w:p>
    <w:p>
      <w:pPr>
        <w:pStyle w:val="Heading2"/>
      </w:pPr>
      <w:r>
        <w:t>Erwägungen</w:t>
      </w:r>
    </w:p>
    <w:p>
      <w:r>
        <w:rPr>
          <w:b/>
        </w:rPr>
        <w:t>E. 1</w:t>
      </w:r>
    </w:p>
    <w:p>
      <w:r>
        <w:t>(...) 2.a. Die aufschiebende Wirkung eines Rechtsmittels bedeutet, dass die im Dispositiv angeordnete Rechtsfolge mit der Eröffnung selbst noch nicht effektiv werden kann, sondern bis zum Beschwerdeentscheid vollständig gehemmt werden soll (vgl. Isabelle Häner, Vorsorgliche Massnahmen im Verwaltungsverfahren und Verwaltungsprozess, in: Schweizerischer Juristenverein, Referate und Mitteilungen, Heft 3 1997, S. 265; André Moser,</w:t>
      </w:r>
    </w:p>
    <w:p>
      <w:r>
        <w:rPr>
          <w:b/>
        </w:rPr>
        <w:t>E. 2</w:t>
      </w:r>
    </w:p>
    <w:p>
      <w:r>
        <w:t>in: Moser/Uebersax, Prozessieren vor eidgenössischen Rekurskommissionen, Basel und Frankfurt am Main 1998, Rz. 3.14). Im Beschwerdeverfahren vor Verwaltungsbehörden und eidgenössischen Rekurskommissionen kommt der Beschwerde im allgemeinen diese aufschiebende Wirkung von Gesetzes wegen zu (vgl. Art. 55 Abs. 1 des Bundesgesetzes vom 20. Dezember 1968 über das Verwaltungsverfahren [VwVG], SR 172.021). Die Suspensivwirkung ist die Regel, die unmittelbare Vollstreckbarkeit die Ausnahme. Immerhin kann einem Rechtsmittel die aufschiebende Wirkung durch die verfügende Behörde entzogen werden, mit Ausnahme von Beschwerden gegen Verfügungen über Geldleistungen, welchen immer eine nicht entziehbare aufschiebende Wirkung zukommt (Moser, a.a.O., Rz. 3.15). b. Vorbehalten bleiben schliesslich Bestimmungen in anderen Bundesgesetzen, nach denen eine Beschwerde keine aufschiebende Wirkung hat (Art. 55 Abs. 5 VwVG). Es besteht mit anderen Worten die Möglichkeit, dass der Gesetzgeber in einem Spezialerlass eine von der vorhin umschriebenen Regelung abweichende Ordnung schafft (vgl. auch Fritz Gygi, Bundesverwaltungsrechtspflege, Bern 1983, S. 242). Dies ist unter anderem in Art. 58 Abs. 3 der Verordnung vom 22. Juni 1994 über die Mehrwertsteuer (MWSTV, SR 641.201) geschehen, in welchem es heisst, die Beschwerde gegen eine Sicherstellungsverfügung der Eidgenössischen Steuerverwaltung (ESTV) hemme die Vollstreckung nicht. Als lex specialis geht diese Regelung dem allgemeinen Grundsatz, wonach der Beschwerde aufschiebende Wirkung zukommt, vor (vgl. Moser, a.a.O., Rz. 3.14). Es handelt sich hierbei um eine Entscheidung des Bundesrates als materiellen Gesetzgeber, der eine Abwägung der widerstreitenden öffentlichen und privaten Interessen auf Stufe der erstinstanzlich verfügenden Behörde einheitlich getroffen hat. Der Bundesrat stützt sich dabei direkt auf den Gesetzgebungsauftrag aus Art. 8 Abs. 1 der Übergangsbestimmungen der Bundesverfassung der Schweizerischen Eidgenossenschaft vom 29. Mai 1874 (UeB BV, SR 101), welcher ihn beauftragt, bis zum Inkrafttreten der entsprechenden Bundesgesetzgebung die Ausführungsbestimmungen nach Art. 41ter Abs. 1 Bst. a und Abs. 3 BV zu erlassen. Ohne dass dazu nähere Vorgaben enthalten sind, beinhaltet dieser Auftrag auch, dass die notwendigen verfahrensrechtlichen Bestimmungen für die Erhebung und den Bezug der Steuer in die bundesrätliche Verordnung aufzunehmen sind. Mit dem Erlass von Art. 58 MWSTV kam der Bundesrat diesem Auftrag nach (vgl. VPB 63.30 E. 4a). Er gab insbesondere mit der Regelung von Art. 58 Abs. 3 letzter Satz MWSTV der ESTV die Möglichkeit zur sofortigen Vollstreckung von Sicherstellungsverfügungen, was auch der Regelung in anderen Bundessteuer-Gesetzen entspricht (vgl. Art. 43 Abs. 3 des Bundesgesetzes vom 27. Juni 1973 über die Stempelabgaben [StG], SR 641.10; Art. 47 Abs. 3 des Bundesgesetzes vom 13. Oktober 1965 über die Verrechnungssteuer [VStG], SR 642.21; Art. 169 Abs. 4 des Bundesgesetzes vom 14. Dezember 1990 über die direkte Bundessteuer [DBG], SR 642.11). Die getroffene Lösung verhindert, dass ein Steuerpflichtiger, welcher bereits einen Steuergefährdungstatbestand erfüllt, während der Rechtsmittelfrist - und bei Einreichen einer Beschwerde auch danach - weitere Vermögenswerte zu Ungunsten des Steuergläubigers entäussern kann, ohne dass der Fiskus oder eine der Rechtsmittelinstanzen gegen ein solches Vorgehen einschreiten könnte. Es besteht ein erhebliches öffentliches Interesse, dass die ESTV in</w:t>
      </w:r>
    </w:p>
    <w:p>
      <w:r>
        <w:rPr>
          <w:b/>
        </w:rPr>
        <w:t>E. 3</w:t>
      </w:r>
    </w:p>
    <w:p>
      <w:r>
        <w:t>November 1998 bis zum Erlass des vorliegenden Zwischenentscheides angeordnet hat (vgl. dazu Moser, a.a.O., Rz. 3.26 f.).</w:t>
      </w:r>
    </w:p>
    <w:p>
      <w:r>
        <w:rPr>
          <w:b/>
        </w:rPr>
        <w:t>E. 4</w:t>
      </w:r>
    </w:p>
    <w:p>
      <w:r>
        <w:t>In jenen Verfahren, in denen wie im vorliegenden Fall die aufschiebende Wirkung einer Beschwerde spezialgesetzlich ausgeschlossen ist, ist freilich darauf zu achten, dass nicht mittels anderer vorsorglicher Massnahmen über längere Zeit ein Zustand hergestellt wird, der in seinen Auswirkungen jenem der Erteilung der aufschiebenden Wirkung gleichkommt. Ob bei Sicherstellungsverfügungen, die sich aufgrund einer summarischen Prüfung mit hoher Wahrscheinlichkeit als völlig unhaltbar erweisen, mittels einer vorsorglichen Massnahme gegebenenfalls auch die vollständige Vollstreckung bis zum Entscheid in der Hauptsache unterbunden werden darf, kann hier offen bleiben. Ohne weiteres denkbar sind dagegen weniger einschneidende Massnahmen, wobei auch insoweit die auf dem Spiele stehenden Interessen und das Verhältnismässigkeitsprinzip zu beachten sind (BGE 117 V 191 f. E. 2b; vgl. auch Moser, a.a.O., Rz. 3.22 mit Hinweis). (...)</w:t>
      </w:r>
    </w:p>
    <w:p>
      <w:r>
        <w:rPr>
          <w:b/>
        </w:rPr>
        <w:t>E. 5</w:t>
      </w:r>
    </w:p>
    <w:p>
      <w:r>
        <w:t>Schweizerisches Bundesarchiv, Digitale Amtsdruckschriften Archives fédérales suisses, Publications officielles numérisées Archivio federale svizzero, Pubblicazioni ufficiali digitali JAAC 63.50 - Zwischenentscheid der Eidgenössischen Steuerrekurskommission vom 18. November 1998 In Verwaltungspraxis der Bundesbehörden Dans Jurisprudence des autorités administratives de la Confédération In Giurisprudenza delle autorità amministrative della Confederazione Jahr 1999 Année Anno Band 63 Volume Volume Seite --- Page Pagina Ref. No 150 004 292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