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63.49 vom 18. Dezember 1997</w:t>
      </w:r>
    </w:p>
    <w:p>
      <w:r>
        <w:t>Bundesverwaltung, 1997-12-18, DE</w:t>
      </w:r>
    </w:p>
    <w:p>
      <w:r>
        <w:rPr>
          <w:b/>
        </w:rPr>
        <w:t xml:space="preserve">Quelle: </w:t>
      </w:r>
      <w:r>
        <w:t>https://mcp.opencaselaw.ch/entscheid/ch_vb_JAAC_63.49__</w:t>
      </w:r>
    </w:p>
    <w:p>
      <w:r>
        <w:t>FR: CH_VB JAAC 63.49 du 18 décembre 1997</w:t>
      </w:r>
    </w:p>
    <w:p>
      <w:r>
        <w:t>IT: CH_VB JAAC 63.49 del 18 dicembre 1997</w:t>
      </w:r>
    </w:p>
    <w:p>
      <w:pPr>
        <w:pStyle w:val="Heading2"/>
      </w:pPr>
      <w:r>
        <w:t>Erwägungen</w:t>
      </w:r>
    </w:p>
    <w:p>
      <w:r>
        <w:rPr>
          <w:b/>
        </w:rPr>
        <w:t>E. 5</w:t>
      </w:r>
    </w:p>
    <w:p>
      <w:r>
        <w:t>Es bleibt noch zu untersuchen, ob die OZD berechtigterweise das Recht des WUB und nicht dasjenige der Mehrwertsteuer für die in Frage stehende Einfuhr angewendet hat. Dazu ist abzuklären, ob die Einfuhr vor oder nach dem 1. Januar 1995 stattgefunden hat. a.aa. Nach dem Wortlaut des Art. 84 Abs. 1 zweiter Teil MWSTV gilt das neue Recht für die Einfuhr von Gegenständen, die nicht vorher provisorisch verzollt wurden und die ab Inkrafttreten dieser Verordnung endgültig zur Einfuhr abgefertigt wurden. Es bedarf somit zwei kumulativ vorliegender Bedingungen, damit eine Einfuhr unter das neue Recht fällt: Es darf weder eine provisorische noch eine definitive Verzollung vor dem 1. Januar 1995 stattgefunden haben. Anders formuliert fallen unter das alte Recht diejenigen Einfuhren, welche vor dem 1. Januar 1995 provisorisch verzollt wurden und solche, die nicht provisorisch, wohl aber vor dem Inkrafttreten der MWSTV definitiv verzollt wurden. Dies hat zur Folge, dass der provisorischen Verzollung eine grosse Bedeutung zukommt. In jenen Fällen wo die provisorische Verzollung vor dem 1. Januar 1995 und die definitive Verzollung nach dem 1. Januar 1995 stattgefunden haben, ist das Recht des WUB anzuwenden. bb. Diese Lösung erscheint zumindest auf den ersten Blick etwas merkwürdig, da im Prinzip erst die definitive Einfuhr eines Gegenstandes Steuerfolgen auslöst. Würde das Gegenteil angenommen, so hiesse dies, dass der provisorische Charakter einer Einfuhr als steuererzeugend zu 13</w:t>
      </w:r>
    </w:p>
    <w:p>
      <w:r>
        <w:t>betrachten ist und dass demnach die definitive Einfuhr nur noch als eine unwesentliche Formalität zu gelten hätte. Belegt wird die Ansicht, wonach erst die definitive Einfuhr eines Gegenstandes Steuerfolgen bewirkt dadurch, dass die provisorische Einfuhr keine Steuerschuld, sondern lediglich Sicherstellungspflichten auferlegt (Art 65 ZG; Art. 68 Abs. 1 der Verordnung vom 10. Juli 1926 zum Zollgesetz [ZV], SR 631.01). Wohl muss die Zollzahlungspflicht von den daraus entstehenden Forderung unterschieden werden, und es stimmt, dass diese sofort nach der Erfüllung der Zollmeldepflicht entsteht (Art. 11 ZG), somit ebenfalls zum Zeitpunkt der provisorischen Einfuhr. Man kann sich gleichwohl die Frage stellen, ob es sich bei der provisorischen Einfuhr nicht doch um eine Unterstellung unter die Steuerpflicht handelt, jedoch um eine solche mit aufschiebender Wirkung, welche erst zum Zeitpunkt der definitiven Einfuhr in Kraft tritt (Peter Gauch / Walter Schluep / Pierre Tercier, Partie générale du droit des obligations, Zürich 1982, Bd. II, S. 246; siehe ebenfalls Ernst Blumenstein / Peter Locher, System des Steuerrechts, Zürich 1992, S. 388; Alfred Neuenschwander, Zollpflicht, Zollschuld und Zollhaftung, Dissertation Thann 1929, S. 44 f.). Kurz gesagt könnte Art. 84 Abs. 1 MWSTV dem Art. 65 MWSTV - der seinerseits auf die Zollgesetzgebung verweist und durchaus verfassungsmässig ist - widersprechen. Der Umstand, dass der Gesetzgeber seinen Willen in Art. 84 Abs. 1 zweiter Teil MWSTV klar zum Ausdruck gebracht hat, berechtigt die Eidgenössische Zollrekurskommission, diese Frage aufzuwerfen. In einem früheren ähnlichen Verfahren vor der Eidgenössischen Zollrekurskommission hat die OZD in einer Stellungnahme die Auswahl des Unterscheidungsmerkmals der provisorischen Verzollung begründet. Sie tat das nicht durch eine Abhandlung über die Entstehung der Zollzahlungspflicht, sondern erklärte die Wahl durch die Tatsache, dass es sonst möglich gewesen wäre, mittels einer provisorischen Einfuhr die definitive Einfuhr auf ein Datum nach dem 1. Januar 1995 zu verschieben und damit den Anspruch auf einen Vorsteuerabzug entstehen zu lassen. Obwohl die Erläuterungen der OZD zutreffend sind, vermögen sie nicht ganz zu überzeugen. Die OZD lässt insbesondere unbeachtet, dass auch die provisorische Verzollung nicht dem freien Ermessen der importierenden Firma überlassen wird (Art. 40 ZG). Obwohl ein erhöhtes Risiko von Missbräuchen bestehen würde, ist es nicht sicher, dass die jetzige Bestimmung dem Grundsatz der Verhältnismässigkeit - der im Prinzip denjenigen der Rechtssicherheit übertrifft - entspricht. Wie dem auch sei, diese Fragen können offen bleiben, da die Beschwerde aus einem anderen Grund abgewiesen werden muss. cc. Mit Recht weist die Vorinstanz darauf hin, dass es sich im vorliegenden Fall nicht um eine provisorische Einfuhr im technischen Sinn handelt (Art. 40 ZG), sondern um eine Einfuhr unter Freipassabfertigung (Art. 47 ZG). Obwohl die beiden Umsätze als provisorische Verzollungen zu gelten haben (Art. 40 bis 47 ZG), bezieht sich der Text des Art. 84 Abs. 1 zweiter Satz MWSTV lediglich auf die provisorischen Einfuhren (Art. 40 ZG). Da es sich hier um eine Einfuhr unter Freipassabfertigung handelt, kann keine provisorische Einfuhr angenommen werden, welche die obenerwähnte Problematik hervorruft. Im Fall der Freipassabfertigung ist die Festlegung des Beginns des Zollzahlungspflicht klar. Sie entsteht «auch», wie es das Gesetz in Art. 12 ZG sagt, bei der Freipassabfertigung. Die Pflicht zur Bezahlung der Zollbeträge und der Steuern fällt jedoch wieder weg, wenn infolge Wiederausfuhr der Waren der Geleitschein oder der Freipass nach Erfüllung der gesetzlichen 14</w:t>
      </w:r>
    </w:p>
    <w:p>
      <w:r>
        <w:t>Voraussetzungen zollamtlich gelöscht worden ist, was klar zeigt, dass es sich um eine Zollzahlungspflicht unter einer auflösenden Bedingung handelt, also um eine echte Zollzahlungspflicht, die mit der Gewährung des Freipasses entsteht (Blumenstein / Locher, a. a. O., S. 279; Neuenschwander, a. a. O., S. 50; Ernst Blumenstein, Grundzüge des schweizerischen Zollrechts, Bern 1931, S. 35). Ausserdem darf nicht ausser Acht gelassen werden, dass bei den grenzüberschreitenden Vermietungen das Freipassverfahren lediglich aus praktischen Gründen eingeführt worden ist. Die Gewährung eines Freipasses bezweckt lediglich die korrekte Berechnung der steuerbaren Einfuhr. So müsste man im Grunde genommen die auslösende Handlung (die Einfuhr eines Gegenstandes) und die Berechnung der steuerbaren Basis auseinanderhalten. In dieser Hinsicht erscheinen die Art. 67 Bst. h. und 69 Abs. 1 Bst. g MWSTV - die zwischen den steuerbaren Umsätzen einerseits und der Bemessungsgrundlage andererseits unterscheiden - logischer als der frühere Art. 48 Bst. f WUB. Diese Erwägungen führen somit die Eidgenössische Zollrekurskommission zur Erkenntnis, dass man sich im vorliegenden Fall zur Beurteilung der Steuerpflicht und folglich bei der Bestimmung des anwendbaren Rechtes an den Zeitpunkt des Eintritts des Gegenstandes in die Schweiz und nicht an denjenigen der Freipasslöschung zu halten hat. Betreffend die Daten der Zahlung der Mieten spielt die Frage des anwendbaren Rechts keine Rolle. Wie nämlich oben gezeigt wurde (siehe E. 3a in fine), bildet die Einfuhr eines Gegenstandes einen einheitlichen Umsatz. Es ist deshalb nicht möglich, eine Aufteilung im Sinne von Art. 84 MWSTV auf die für die Zeit vor und nach dem 31. Dezember 1994 bezahlten Mieten vorzunehmen. b. Im vorliegenden Fall steht fest, dass die Beschwerdeführerin die Maschine vor dem 1. Januar 1995 einführte. Das Datum der Einfuhr - unter Freipass - ist einzig massgebend. Die streitige Einfuhr fand somit unter dem Recht des WUB statt. Obige Erwägungen führen somit die Eidgenössische Zollrekurskommission dazu, die Beschwerde abzuweisen und die angefochtene Verfügung zu bestätigen. (...) [89] Zu beziehen bei der Eidgenössischen Steuerverwaltung, Hauptabteilung Mehrwertsteuer, Schwarztorstrasse 50, 3003 Bern. 15</w:t>
      </w:r>
    </w:p>
    <w:p>
      <w:r>
        <w:t>Schweizerisches Bundesarchiv, Digitale Amtsdruckschriften Archives fédérales suisses, Publications officielles numérisées Archivio federale svizzero, Pubblicazioni ufficiali digitali JAAC 63.49 - Entscheid der Eidgenössischen Zollrekurskommission vom 18. Dezember 1997 In Verwaltungspraxis der Bundesbehörden Dans Jurisprudence des autorités administratives de la Confédération In Giurisprudenza delle autorità amministrative della Confederazione Jahr 1999 Année Anno Band 63 Volume Volume Seite --- Page Pagina Ref. No 150 004 286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