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63.29 vom 12. Oktober 1998</w:t>
      </w:r>
    </w:p>
    <w:p>
      <w:r>
        <w:t>Bundesverwaltung, 1998-10-12, DE</w:t>
      </w:r>
    </w:p>
    <w:p>
      <w:r>
        <w:rPr>
          <w:b/>
        </w:rPr>
        <w:t xml:space="preserve">Quelle: </w:t>
      </w:r>
      <w:r>
        <w:t>https://mcp.opencaselaw.ch/entscheid/ch_vb_JAAC_63.29__</w:t>
      </w:r>
    </w:p>
    <w:p>
      <w:r>
        <w:t>FR: CH_VB JAAC 63.29 du 12 octobre 1998</w:t>
      </w:r>
    </w:p>
    <w:p>
      <w:r>
        <w:t>IT: CH_VB JAAC 63.29 del 12 ottobre 1998</w:t>
      </w:r>
    </w:p>
    <w:p>
      <w:pPr>
        <w:pStyle w:val="Heading2"/>
      </w:pPr>
      <w:r>
        <w:t>Erwägungen</w:t>
      </w:r>
    </w:p>
    <w:p>
      <w:r>
        <w:rPr>
          <w:b/>
        </w:rPr>
        <w:t>E. 10</w:t>
      </w:r>
    </w:p>
    <w:p>
      <w:r>
        <w:t>VwVG). Der SRK ist es also unbenommen, den der Sicherstellungsverfügung vom 21. Januar 1998 zugrundegelegten Sachverhalt auch im Lichte von Art. 58 Abs. 1 Bst. d MWSTV zu würdigen. b. In Art. 58 Abs. 1 Bst. d MWSTV wird der ESTV die Kompetenz eingeräumt, eine Sicherstellungsverfügung auch dann zu erlassen, wenn der Steuerpflichtige den Geschäftsbetrieb einer in Konkurs gefallenen Unternehmung ganz oder teilweise übernimmt. Hier, wie überhaupt bei allen Tatbestandsvarianten von Art. 58 Abs. 1 MWSTV, ist zu beachten, dass nicht jedes Mass an Gefährdung ausreicht, um eine Sicherstellungsverfügung zu erlassen. Immer müssen zur Beurteilung der Frage, ob eine abstrakte oder konkrete Bezugsgefährdung vorliegt, die konkreten Umstände gewürdigt werden (vgl. dazu Archiv für Schweizerisches Abgaberecht [ASA] 55 S. 246, Ziff. 224). So muss auch für den Erlass einer Sicherstellungsverfügung gestützt auf Art. 58 Abs. 1 Bst. d MWSTV in jedem Fall eine genügend intensive Bezugsgefährdung vorhanden sein; es muss von einer solchen Übernahme zumindest die abstrakte Gefahr ausgehen, dass der Steuerpflichtige in Zukunft seinen Pflichten gegenüber dem Fiskus nicht mehr vollständig wird nachkommen können. Eine derartige abstrakte Gefahr kann etwa darin liegen, dass mit einer Geschäftsübernahme nicht nur Aktiven, sondern auch Passiven übernommen werden, welche möglicherweise umfangmässig noch nicht einmal definitiv feststehen. Oder der Steuerpflichtige tritt durch die Geschäftsübernahme in Verträge ein, welche die konkursite Unternehmung abgeschlossen hatte, und die daher nicht auf ihn zugeschnitten sind bzw. Lasten mit sich bringen können, ohne dass diesen ein entsprechender Nutzen gegenübersteht. Zu denken ist aber auch an eine möglicherweise schlechte örtliche Lage des übernommenen Geschäftsbetriebs, welche bereits die konkursite Unternehmung zu Fall gebracht hatte. Lässt sich eine derartige Gefährdung mit genügender Intensität tatsächlich nachweisen, so könnte die ESTV bereits gestützt auf Art. 58 Abs. 1 Bst. a MWSTV eine Sicherstellungsverfügung erlassen. Es kann nun aber nicht Sinn und Zweck von Bst. d des entsprechenden Artikels sein, bloss zu wiederholen, was bereits aufgrund von Bst. a gilt. Deshalb muss nach einer systematischen Auslegung davon ausgegangen werden, dass Bst. d in seinem Gehalt über Bst. a hinausgehen soll, was nur dann der Fall ist, wenn damit der ESTV die Kompetenz eingeräumt wird, ohne den vorgängigen Beweis einer Gefährdung, einzig gestützt auf die Tatsache einer (teilweisen) Übernahme des Geschäftsbetriebs einer konkursiten Unternehmung, eine Sicherstellungsverfügung zu erlassen. Mithin wird durch Bst. d eine Art Beweislastumkehr bewirkt: Aus der Tatsache einer entsprechenden Übernahme darf die ESTV ohne weitere Prüfung auf eine Bezugsgefährdung schliessen. Der Beweis des Gegenteils obliegt nun dem Steuerpflichtigen. Gelingt ihm der Nachweis, dass von der ganzen oder teilweisen Geschäftsübernahme keine Bezugsgefährdung - auch nicht eine abstrakte - (mehr) ausgeht, so fällt die Grundlage für eine Sicherstellungsverfügung dahin. Bst. d stellt in diesem Sinne also eine sogenannte Tatsachenvermutung auf. Die Vermutungsfolge kann durch den Beweis des Gegenteils der Vermutung abgewendet werden, wobei die objektive Beweislast den Vermutungsgegner trifft (vgl. dazu Daniel Schär, Grundsätze der Beweislastverteilung im Steuerrecht, Bern / Stuttgart / Wien 1998, S. 252 f.). Nur bei dieser Auslegung hat Bst. d einen Sinn. Damit hat</w:t>
      </w:r>
    </w:p>
    <w:p>
      <w:r>
        <w:rPr>
          <w:b/>
        </w:rPr>
        <w:t>E. 11</w:t>
      </w:r>
    </w:p>
    <w:p>
      <w:r>
        <w:t>die ESTV bei der Anwendung von Art. 58 Abs. 1 Bst. d MWSTV nur noch - aber immerhin - das Vorliegen einer zumindest teilweisen Übernahme des Geschäftsbetriebs einer konkursiten Unternehmung nachzuweisen, woraus dann die Vermutung für eine Steuergefährdung abgeleitet werden darf. c. Im vorliegenden Fall legt die ESTV dar, die Beschwerdeführerin habe den Geschäftsbetrieb der seit dem 17. Oktober 1997 konkursiten O AG übernommen. Eine entsprechende telefonische Auskunft will sie am 30. Oktober 1997 von der Treuhand AG S, der ehemaligen Revisionsstelle der Beschwerdeführerin und der O AG, erhalten haben. Die Treuhand AG S sei angefragt worden, worauf sie den voraussichtlich massgebenden Umsatz, welcher auf dem «Fragebogen zur Eintragung als Mehrwertsteuerpflichtiger» mit Fr. 345 410.- angegeben wurde, abstütze. Hierauf habe die Treuhand AG S geantwortet, dieser Betrag ergebe sich durch die Übernahme der O AG. Über dieses Telefongespräch findet sich eine kurze mit Bleistift geschriebene Notiz auf dem erwähnten Fragebogen, welche folgenden Inhalt hat: «Übernahme von 286 206 ev. Konkurs gem. Tel. mit Treuhandbüro vom 30.10.97 KRE» Die Beschwerdeführerin stellt in ihrer Replik vom 27. Mai 1998 in Abrede, die O AG übernommen zu haben. Im Zusammenhang mit dem geschätzten Umsatz von Fr. 345 410.- führt sie sodann aus, sie führe lediglich das Pub im 1. Stock. Die konkursite O AG habe aber ein Restaurant mit Pizza und ein Pub im 1. Stock betrieben. Im Rahmen einer Instruktionsmassnahme erkundigte sich die SRK am 10. Juli 1998 beim Konkursamt des Kantons X über den Stand des Konkursverfahrens der O AG. Von dort erhielt sie die Auskunft, der Konkurs über der O AG sei noch nicht abgeschlossen. Die Aktiven hätten jedoch alle verwertet werden können und der Kollokationsplan sei rechtskräftig geworden. Der nächste Schritt bestehe darin, den Verwertungserlös an die kollozierten Gläubiger zu verteilen. Das gesamte Inventar der O AG sei von einem Herrn K. aufgekauft worden. Passiven hätte dieser jedoch keine übernommen, vielmehr habe der Kauf im Rahmen der normalen konkursamtlichen Verwertung stattgefunden. Nach Ansicht der ESTV wird dadurch die Annahme einer Steuergefährdung durch Übernahme einer konkursiten Gesellschaft im Sinne von Art. 58 Abs. 1 Bst. d MWSTV bestätigt. Die Beschwerdeführerin dagegen hält dafür, der Konkurs der O AG sei für eine allfällige Sicherstellungsverfügung ohne jegliche Relevanz. Im übrigen sei das im Rahmen einer gewöhnlichen Verwertung erworbene Kleininventar grösstenteils weiterveräussert worden. Die ESTV stützt ihre Annahme, die Beschwerdeführerin habe die konkursite O AG übernommen, einzig auf eine telefonische Aussage der Treuhand AG S. Dem Wortlaut der Telefonnotiz muss dabei entnommen werden, dass die Treuhand AG S zum Zeitpunkt der Auskunft noch nicht wusste, dass über der O AG tatsächlich der Konkurs eröffnet war (vgl. Formulierung «ev. Konkurs»). Die Tatsache, dass zu jenem Zeitpunkt der Konkurs bereits seit fast zwei Wochen eröffnet war, was insbesondere der Treuhand AG S als Revisionsstelle der O AG hätte bekannt sein müssen, lässt gewisse Zweifel an der Vollständigkeit jener Telefonnotiz bzw. an der angeblichen Auskunft aufkommen. Als alleiniges Beweismittel für einen Eingriff, wie ihn eine Sicherstellungsverfügung darstellt, kann eine derartige, in sich widersprüchliche Telefonnotiz nicht genügen. Aus der Würdigung der übrigen</w:t>
      </w:r>
    </w:p>
    <w:p>
      <w:r>
        <w:rPr>
          <w:b/>
        </w:rPr>
        <w:t>E. 12</w:t>
      </w:r>
    </w:p>
    <w:p>
      <w:r>
        <w:t>Beweise (Auskunft des Konkursamtes des Kantons X, Handelsregisterauszug der Beschwerdeführerin, Parteiauskünfte) ergibt sich vielmehr, dass die Beschwerdeführerin die O AG jedenfalls nicht im Sinne des OR (Art. 181 bzw. 748 f. OR) übernommen hat. Sachverhaltsmässig kann davon ausgegangen werden, dass die Beschwerdeführerin unter anderem zumindest mit einem Teil des ehemaligen Inventars der O AG in demselben Gebäude wie die Konkursitin einen Billard-Betrieb führt. Damit betätigt sie sich - wenigstens teilweise - am selben Standort mit dem gleichen Gewerbe wie die O AG und benützt dazu auch einen Teil ihres ehemaligen Inventars. Weitere rechtliche oder tatsächliche Verbindungen, wie z. B. übernommene Verträge, Geschäftskonzepte, Mitgliederübernahme oder Weiterbeschäftigung von Personal lassen sich dagegen zwischen den beiden rechtlich unabhängigen Aktiengesellschaften nicht nachweisen und werden auch von der ESTV nicht dargelegt. Ob bei einem solchen Sachverhalt von einer eigentlichen Übernahme eines Teils des Geschäftsbetriebs (im Sinne von Art. 58 Abs. 1 Bst. d MWSTV) der O AG gesprochen werden kann, ist damit zweifelhaft. So kann allein der Kauf von Gegenständen im Rahmen eines SchKG-Verwertungsverfahrens nicht die Übernahme eines Geschäftsbetriebs bewirken, auch nicht im Sinne von Art. 58 Abs. 1 Bst. d MWSTV. Vielmehr muss ein solcher Kauf - zumindest solange als keine anderen Verpflichtungen als die Bezahlung eines üblichen Entgelts übernommen werden - jedem anderen Kauf gleichgestellt werden. Es geht nicht an, einen Unterschied zu machen zwischen einem Kauf von einzelnen Gegenständen von einem Trödler oder einer Handelsunternehmung und dem Erwerb aus einer Konkursmasse. Keiner dieser Käufe kann für sich genommen eine Geschäftsübernahme darstellen. Daran ändert sich auch nichts, wenn mit derart erworbenen Gütern eine Tätigkeit ausgeübt wird, welche bereits die Rechtsvorgängerin dieser Güter betrieb, denn je nach der Art der so erworbenen Waren besteht kaum eine andere Verwendungsmöglichkeit. In Ziff. 2.4.2 des Merkblatts Nr. 30[36] der ESTV wird der in Art. 5 Abs. 5 MWSTV verwendete Begriff des Teilvermögens näher umschrieben. Ob ein Teilvermögen im Sinne dieser Bestimmung vorliegt, beurteilt die Verwaltung jeweils im Einzelfall. Immerhin wird vorausgesetzt, dass es sich um eine Mehrzahl von Gegenständen handelt, welche aus Sicht des Übertragenden eine organische Einheit bilden. Als Beispiel eines Teilvermögens wird in Ziff. 2.4.4 Abs. 3 des Merkblatts Nr. 30 unter anderem explizit das Inventar eines Gastgewerbebetriebs bezeichnet. Die Tatsache, dass die Mehrwertsteuerverordnung in Art. 58 Abs. 1 Bst. d MWTSV einerseits nicht den Begriff des Teilvermögens, sondern jenen des Geschäftsbetriebs verwendet, deutet darauf hin, dass der Verordnungsgeber als Voraussetzung für den Erlass einer Sicherstellungsverfügung gestützt auf Art. 58 Abs. 1 Bst. d MWSTV mehr als bloss den Übergang von Gegenständen, welche eine organische Einheit bilden, voraussetzt. Andererseits erhellt aus dem bisher Gesagten, dass der Begriff der (teilweisen) Übernahme eines Geschäftsbetriebs gemäss Art. 58 Abs. 1 Bst. d MWSTV weiter geht als die in Art. 181 OR (Übernahme eines Vermögens oder Geschäfts) oder der Art. 748 f. OR (Fusionen) umschriebenen Vorgänge, bei denen immer auch Passiven und andere Verpflichtungen auf die übernehmende Gesellschaft übergehen. Dennoch darf Art. 58 Abs. 1 Bst. d MWSTV nicht allzu weit ausgelegt werden,</w:t>
      </w:r>
    </w:p>
    <w:p>
      <w:r>
        <w:rPr>
          <w:b/>
        </w:rPr>
        <w:t>E. 13</w:t>
      </w:r>
    </w:p>
    <w:p>
      <w:r>
        <w:t>weil sonst die Gefahr besteht, dass in die verfassungsmässig geschützte Gewerbefreiheit eingegriffen und unter Umständen der Aufbau eines neuen Unternehmens übermässig erschwert wird. Durch die Norm soll einzig sichergestellt werden, dass die ESTV in Fällen, bei denen aus einem unternehmerischen Handeln ernsthafte Gefahren für den Steuereinzug entstehen könnten, rasch und ohne umständliche Beweisführung künftige Steuern sicherstellen lassen kann. Insofern sind die Voraussetzungen für den Erlass einer Sicherstellungsverfügung in Art. 58 Abs. 1 Bst. d MWSTV zu Recht erleichtert. Andererseits muss beim Übernahmebegriff von Art. 58 Abs. 1 Bst. d MWSTV doch verlangt werden, dass eine mögliche Gefährdung für künftige Steuerforderungen entstehen kann, was bei einem Verhalten wie demjenigen der Beschwerdeführerin nicht der Fall ist. Daraus erhellt, dass sich die gegen die Beschwerdeführerin erlassene Sicherstellungsverfügung auch nicht mit einer angeblichen teilweisen Übernahme des Geschäftsbetriebs einer konkursiten Unternehmung rechtfertigen lässt. Dem Gesagten zufolge ist dem Hauptantrag der Beschwerdeführerin zu entsprechen und die Beschwerde vollumfänglich gutzuheissen. [36] Zu beziehen bei der Eidgenössischen Steuerverwaltung, Hauptabteilung Mehrwertsteuer, Schwarztorstrasse 50, 3003 Bern.</w:t>
      </w:r>
    </w:p>
    <w:p>
      <w:r>
        <w:rPr>
          <w:b/>
        </w:rPr>
        <w:t>E. 14</w:t>
      </w:r>
    </w:p>
    <w:p>
      <w:r>
        <w:t>Schweizerisches Bundesarchiv, Digitale Amtsdruckschriften Archives fédérales suisses, Publications officielles numérisées Archivio federale svizzero, Pubblicazioni ufficiali digitali JAAC 63.29 - Entscheid der Eidgenössischen Steuerrekurskommission vom 12. Oktober 1998 In Verwaltungspraxis der Bundesbehörden Dans Jurisprudence des autorités administratives de la Confédération In Giurisprudenza delle autorità amministrative della Confederazione Jahr 1999 Année Anno Band 63 Volume Volume Seite --- Page Pagina Ref. No 150 004 220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