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 vom 16. November 1998</w:t>
      </w:r>
    </w:p>
    <w:p>
      <w:r>
        <w:t>Bundesverwaltung, 1998-11-16, DE</w:t>
      </w:r>
    </w:p>
    <w:p>
      <w:r>
        <w:rPr>
          <w:b/>
        </w:rPr>
        <w:t xml:space="preserve">Quelle: </w:t>
      </w:r>
      <w:r>
        <w:t>https://mcp.opencaselaw.ch/entscheid/ch_vb_JAAC_63.1__</w:t>
      </w:r>
    </w:p>
    <w:p>
      <w:r>
        <w:t>FR: CH_VB JAAC 63.1 du 16 novembre 1998</w:t>
      </w:r>
    </w:p>
    <w:p>
      <w:r>
        <w:t>IT: CH_VB JAAC 63.1 del 16 novembre 1998</w:t>
      </w:r>
    </w:p>
    <w:p>
      <w:pPr>
        <w:pStyle w:val="Heading2"/>
      </w:pPr>
      <w:r>
        <w:t>Erwägungen</w:t>
      </w:r>
    </w:p>
    <w:p>
      <w:r>
        <w:rPr>
          <w:b/>
        </w:rPr>
        <w:t>E. 1</w:t>
      </w:r>
    </w:p>
    <w:p>
      <w:r>
        <w:t>Portée de la présence en Suisse de l’épouse du recourant dans le cadre d’une décision d’extension à tout le territoire de la Confédération d’une décision cantonale de renvoi.</w:t>
      </w:r>
    </w:p>
    <w:p>
      <w:r>
        <w:rPr>
          <w:b/>
        </w:rPr>
        <w:t>E. 2</w:t>
      </w:r>
    </w:p>
    <w:p>
      <w:r>
        <w:t>Notion d’étranger indésirable au sens de l’art. 13 al. 1 1e phrase LSEE. Conformité d’une mesure de durée indéterminée aux principes de la proportionnalité et de l’égalité de traitement. Fremdenpolizei. Ausdehnung einer kantonalen Wegweisungsverfügung auf das Gebiet der ganzen Schweiz und Einreisesperre gegenüber einem Ausländer, der gegen das Betäubungsmittelgesetz verstossen hat (schwerer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