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62.8 vom 12. Februar 1997</w:t>
      </w:r>
    </w:p>
    <w:p>
      <w:r>
        <w:t>Bundesverwaltung, 1997-02-12, DE</w:t>
      </w:r>
    </w:p>
    <w:p>
      <w:r>
        <w:rPr>
          <w:b/>
        </w:rPr>
        <w:t xml:space="preserve">Quelle: </w:t>
      </w:r>
      <w:r>
        <w:t>https://mcp.opencaselaw.ch/entscheid/ch_vb_JAAC_62.8__</w:t>
      </w:r>
    </w:p>
    <w:p>
      <w:r>
        <w:t>FR: CH_VB JAAC 62.8 du 12 février 1997</w:t>
      </w:r>
    </w:p>
    <w:p>
      <w:r>
        <w:t>IT: CH_VB JAAC 62.8 del 12 febbraio 1997</w:t>
      </w:r>
    </w:p>
    <w:p>
      <w:pPr>
        <w:pStyle w:val="Heading2"/>
      </w:pPr>
      <w:r>
        <w:t>Erwägungen</w:t>
      </w:r>
    </w:p>
    <w:p>
      <w:r>
        <w:rPr>
          <w:b/>
        </w:rPr>
        <w:t>E. 1</w:t>
      </w:r>
    </w:p>
    <w:p>
      <w:r>
        <w:t>Comme en procédure administrative ordinaire, le recours en matière d’asile a effet suspensif, exception faite toutefois des trois cas dans lesquels la LAsi prévoit expressément que le renvoi est immédiatement exécutoire (art. 17a al. 2, art. 19 al. 3 et art. 13d al. 3 et 4 LAsi). Hormis ces cas, l’effet suspensif peut aussi être exceptionnellement retiré en application des règles générales de l’art. 55 PA.</w:t>
      </w:r>
    </w:p>
    <w:p>
      <w:r>
        <w:rPr>
          <w:b/>
        </w:rPr>
        <w:t>E. 2</w:t>
      </w:r>
    </w:p>
    <w:p>
      <w:r>
        <w:t>Gegen diese Verfügung erhob P. J. am 29. Januar 1997 durch seine Rechtsvertreterin Beschwerde und beantragte gleichzeitig die Wiederherstellung der aufschiebenden Wirkung. Diesem letzteren Begehren gibt der Instruktionsrichter der Schweizerischen Asylrekurskommission (ARK) mit Zwischenverfügung vom 12. Februar 1997 statt. Aus der Zwischenverfügung des Instruktionsrichters: Die Vorinstanz begründet den Entzug der aufschiebenden Wirkung im wesentlichen damit, dass das öffentliche Interesse am raschen Vollzug der Wegweisung angesichts der Aktenlage und der Unbegründetheit des unter erfundener Nationalität eingereichten Asylgesuches gegenüber dem persönlichen Interesse, sich bis zum rechtskräftigen Abschluss des Asylverfahrens in der Schweiz aufhalten zu dürfen, überwiege. In diesem Zusammenhang muss auf den Sinn der gesetzlichen Regelung hingewiesen werden, welche für das ordentliche Rechtsmittelverfahren (im Unterschied zu den ausserordentlichen Rechtsmitteln und Rechtsbehelfen, vgl. Art. 47 Abs. 3 des Asylgesetzes vom 5. Oktober 1979 [AsylG], SR 142.31) von der aufschiebenden Wirkung der Beschwerde ausgeht und den Entzug derselben grundsätzlich nur für die klar definierten Fälle des sofortigen Vollzugs vorsieht (Art. 47 Abs. 1 AsylG); dies sind die Nichteintretensentscheide nach Art. 16 AsylG (vgl. Art. 17a Abs. 2 AsylG), die vorsorglichen Wegweisungen in einen Drittstaat (Art. 19 Abs. 3 AsylG) sowie die Wegweisungen im Flughafenverfahren (Art. 13d Abs. 3 und 4 AsylG). Zwar schliesst diese Regelung nicht aus, dass über die genannten Fälle hinaus das BFF auch bei materiellen Abweisungen nach der allgemeinen Regel von Art. 55 Abs. 2 des Bundesgesetzes vom 20. Dezember 1968 über das Verwaltungsverfahren (VwVG, SR 172.021) einer Beschwerde in besonderen Fällen die aufschiebende Wirkung entzieht. Obschon die genannte Bestimmung in der geltenden Fassung von Art. 47 AsylG (Änderung gemäss Bundesgesetz vom 18. März 1994 über Zwangsmassnahmen im Ausländerrecht, AS 1995 146) - im Unterschied zur früheren Fassung - für die aufschiebende Wirkung nicht mehr ausdrücklich auf Art. 55 VwVG verweist, geht aus den Materialien zum Bundesgesetz über Zwangsmassnahmen im Ausländerrecht klar hervor, dass die Streichung des Verweises auf Art. 55 VwVG aus dem Gesetzestext lediglich redaktioneller Natur war und damit keineswegs beabsichtigt wurde, die Geltung der allgemeinen Regel des VwVG über die aufschiebende Wirkung auszuschalten. Dies wird in der Botschaft zum Bundesgesetz über Zwangsmassnahmen im Ausländerrecht (BBl 1994 I 333) im Kommentar zur neuen Fassung von Art. 47 Abs. 1 AsylG ausdrücklich festgehalten: «Durch die Änderung von Absatz 1 entfällt der Hinweis auf Artikel 55 des Verwaltungsverfahrensgesetzes (SR 172.021). Selbstverständlich behält dieser Artikel in allen übrigen Fällen aber seine Gültigkeit.» Allerdings muss sich ein Entzug der aufschiebenden Wirkung in solchen Fällen auf eng umgrenzte Ausnahmen beschränken. Aus dem Sinn der zitierten gesetzlichen Regelung ergibt sich, dass nur in den ausdrücklich erwähnten drei Fallkategorien (Art. 17a Abs. 2, Art. 19 Abs. 3 und Art. 13d Abs. 3 und 4 AsylG) regelmässig von einem besonders gewichtigen Interesse am raschen Vollzug der Wegweisung auszugehen ist und demgegenüber bei materiellen Asylentscheiden das</w:t>
      </w:r>
    </w:p>
    <w:p>
      <w:r>
        <w:rPr>
          <w:b/>
        </w:rPr>
        <w:t>E. 3</w:t>
      </w:r>
    </w:p>
    <w:p>
      <w:r>
        <w:t>Vorliegen zusätzlicher Gründe verlangt wird, welche die einschneidende Massnahme des Entzugs der aufschiebenden Wirkung zu rechtfertigen vermögen. Die mangelnden Erfolgsaussichten der Beschwerde können mitberücksichtigt werden, wenn sie klar zu Tage treten. Selbst einer trölerischen Beschwerde ist der Suspensiveffekt aber nur vorzuenthalten, wenn der Aufschub öffentliche oder private Interessen in Mitleidenschaft zieht (Fritz Gygi, Bundesverwaltungsrechtspflege, 2. Aufl., Bern 1983, S. 245). Als öffentliches Interesse fällt neben anderen Gesichtspunkten insbesondere die ernstliche Gefährdung von polizeilichen Schutzgütern (Leib, Leben, Gesundheit) in Betracht (vgl. Gygi, a. a. O., S. 244 f.). Besondere Zurückhaltung beim Entzug der aufschiebenden Wirkung ist dort geboten, wo mit einer solchen vorsorglichen Massnahme der Endentscheid in kaum wieder gutzumachender Weise faktisch vorweggenommen wird. Dies ist im Asylverfahren - insbesondere, wenn eine Ausschaffung ins Heimatland resultiert - regelmässig der Fall. Im Asylverfahren kann deshalb die Regel aufgestellt werden, dass der Entzug der aufschiebenden Wirkung eines ordentlichen Rechtsmittels ausserhalb der obgenannten drei Fallkategorien nur unter den kumulativen Voraussetzungen angeordnet bzw. bestätigt werden darf, dass die (allfällige) Beschwerde offensichtlich keine Aussicht auf Erfolg hat - also eine Gefährdung im Sinne des weiten Verfolgungsbegriffs des Asylgesetzes (vgl. VPB 58.32, E. 3b) ausgeschlossen ist - und dass der Asylgesuchsteller eine Gefährdung für Leib, Leben und Gesundheit anderer Personen darstellt oder die öffentliche Sicherheit und Ordnung in ernstzunehmender Weise gefährdet. In casu reicht das blosse Interesse am Vollzug der Verfügung nicht aus, um das private Interesse des Beschwerdeführers am normalen Fortgang des Beschwerdeverfahrens überwiegen zu lassen. Die als Begründung für rechtsmissbräuchliches Verhalten von der Vorinstanz vorgebrachte angebliche Täuschung des Beschwerdeführers über seine wahre Nationalität stellt genau den entscheidenden und strittigen Punkt im vorliegenden Asylverfahren dar, auf dessen Überprüfung der Beschwerdeführer ein Anrecht hat. Selbst wenn aus den Akten - was jedoch hier nicht der Fall ist - auf Aussichtslosigkeit der Beschwerde zu schliessen wäre, fehlte immer noch das zweite Erfordernis der Gefährdung anderer Personen oder der Öffentlichkeit. Die von der Vorinstanz behauptete rechtsmissbräuchliche und mutwillige Ingangsetzung eines kostspieligen Verfahrens auf Kosten des Gemeinwesens würde - selbst wenn die Qualifikation des Verhaltens des Beschwerdeführers richtig wäre - selbstverständlich keine Gefährdung im genannten Sinne darstellen. Die Praxis des BFF, bei bestimmten Gruppen von Asylbewerbern, denen die behauptete Nationalität nicht geglaubt wird, insbesondere westafrikanischer oder nahöstlicher Provenienz (dagegen aber z. B. nicht bei angeblichen Afghanen) systematisch und ohne die oben dargelegte individuelle Interessenabwägung die aufschiebende Wirkung zu entziehen, läuft im übrigen auf die Schaffung einer besonderen Verfahrenskategorie hinaus, welche in ihrer Auswirkung faktisch den Tatbeständen eines Nichteintretensentscheides gleichkommt. Eine solche faktische Ausdehnung der Wirkungen eines Nichteintretensentscheides ist insbesondere deshalb problematisch, weil die gesetzlichen Tatbestände des Nichteintretens nach Art. 16 AsylG abschliessend sind und in der Praxis der ARK restriktiv</w:t>
      </w:r>
    </w:p>
    <w:p>
      <w:r>
        <w:rPr>
          <w:b/>
        </w:rPr>
        <w:t>E. 4</w:t>
      </w:r>
    </w:p>
    <w:p>
      <w:r>
        <w:t>ausgelegt werden (vgl. VPB 61.11; Entscheidungen und Mitteilungen der Schweizerischen Asylrekurskommission [EMARK] 1996 Nr. 32, 1995 Nrn. 18 und 19). Bei dieser Sachlage ist die aufschiebende Wirkung wieder herzustellen.</w:t>
      </w:r>
    </w:p>
    <w:p>
      <w:r>
        <w:rPr>
          <w:b/>
        </w:rPr>
        <w:t>E. 5</w:t>
      </w:r>
    </w:p>
    <w:p>
      <w:r>
        <w:t>Schweizerisches Bundesarchiv, Digitale Amtsdruckschriften Archives fédérales suisses, Publications officielles numérisées Archivio federale svizzero, Pubblicazioni ufficiali digitali JAAC 62.8 - Auszug aus einem Entscheid der Schweizerischen Asylrekurskommission vom 12. Februar 1997 In Verwaltungspraxis der Bundesbehörden Dans Jurisprudence des autorités administratives de la Confédération In Giurisprudenza delle autorità amministrative della Confederazione Jahr 1998 Année Anno Band 62 Volume Volume Seite --- Page Pagina Ref. No 150 004 070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