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62.5 vom 8. Juli 1997</w:t>
      </w:r>
    </w:p>
    <w:p>
      <w:r>
        <w:t>Bundesverwaltung, 1997-07-08, DE</w:t>
      </w:r>
    </w:p>
    <w:p>
      <w:r>
        <w:rPr>
          <w:b/>
        </w:rPr>
        <w:t xml:space="preserve">Quelle: </w:t>
      </w:r>
      <w:r>
        <w:t>https://mcp.opencaselaw.ch/entscheid/ch_vb_JAAC_62.5__</w:t>
      </w:r>
    </w:p>
    <w:p>
      <w:r>
        <w:t>FR: CH_VB JAAC 62.5 du 8 juillet 1997</w:t>
      </w:r>
    </w:p>
    <w:p>
      <w:r>
        <w:t>IT: CH_VB JAAC 62.5 del 8 luglio 1997</w:t>
      </w:r>
    </w:p>
    <w:p>
      <w:pPr>
        <w:pStyle w:val="Heading2"/>
      </w:pPr>
      <w:r>
        <w:t>Erwägungen</w:t>
      </w:r>
    </w:p>
    <w:p>
      <w:r>
        <w:rPr>
          <w:b/>
        </w:rPr>
        <w:t>E. 1</w:t>
      </w:r>
    </w:p>
    <w:p>
      <w:r>
        <w:t>Il y a également lieu d’entrer en matière sur une demande d’asile présentée à l’étranger lorsque celle-ci n’est pas déposée auprès d’une représentation suisse mais directement auprès de l’ODR. L’autorisation d’entrée est accordée soit en vue de la reconnaissance de la qualité de réfugié ou de l’octroi de l’asile, soit en vue de l’établissement des faits (consid. 2b).</w:t>
      </w:r>
    </w:p>
    <w:p>
      <w:r>
        <w:rPr>
          <w:b/>
        </w:rPr>
        <w:t>E. 2</w:t>
      </w:r>
    </w:p>
    <w:p>
      <w:r>
        <w:t>Ne peut être réfugié que celui qui a quitté le pays dans lequel il craint d’être persécuté. Lorsqu’une demande d’asile est présentée depuis le pays donné pour persécuteur, il n’y a pas lieu de se prononcer sur la qualité de réfugié (consid. 2c).</w:t>
      </w:r>
    </w:p>
    <w:p>
      <w:r>
        <w:rPr>
          <w:b/>
        </w:rPr>
        <w:t>E. 3</w:t>
      </w:r>
    </w:p>
    <w:p>
      <w:r>
        <w:t>Mit Stellungnahme vom 1. Dezember 1996 beantragt der Beschwerdeführer in seiner Replik die Gutheissung der Beschwerde; den gleichen Antrag stellt seine Ehefrau mit Eingabe vom 2. Dezember 1996. Die Schweizerische Asylrekurskommission (ARK) weist die Beschwerde ab. Aus den Erwägungen: 2. (...) b. Art. 13a des Asylgesetzes vom 5. Oktober 1979 (AsylG, SR 142.31) bestimmt, dass ein sich im Ausland befindender Ausländer sein Gesuch bei einer schweizerischen Vertretung zu stellen hat. Wird wie vorliegend ein solches Gesuch direkt an das für den Entscheid zuständige BFF (vgl. Art. 11 Abs. 1 AsylG) geschickt, ist dieses Gesuch zwar entgegenzunehmen, doch kann dieses Amt entweder die Einreise bewilligen oder den Gesuchsteller zur weiteren Abklärung an eine schweizerische Vertretung - im angeblichen Verfolgerstaat oder anderswo - verweisen. Allfällige Instruktionshandlungen sind nicht auf postalischem Weg, sondern via eine schweizerische Vertretung im Ausland vorzunehmen (vgl. Art. 13a AsylG). Ist eine Gefährdung im Sinne von Art. 3 AsylG glaubhaft gemacht worden oder kann dem Gesuchsteller der Verbleib am Aufenthaltsort für die Dauer der Sachverhaltsabklärung beziehungsweise das Aufsuchen einer schweizerischen Vertretung in einem anderen Land nicht zugemutet werden, kann diesfalls allerdings lediglich die Einreise in die Schweiz bewilligt werden, sei es im Hinblick auf die Anerkennung als Flüchtling und die Asylgewährung, sei es zur Abklärung des Sachverhalts (vgl. Art. 13b Abs. 2 und 3 AsylG). Umgekehrt ist bei nicht glaubhaft gemachter Verfolgung (Art. 3 und 12a AsylG) oder bei zumutbarer Bemühung um Aufnahme in einem Drittland (Art. 6 AsylG) ein negativer materieller Entscheid möglich. c. Ein Asylgesuchsteller, der sich noch in seinem Heimatstaat befindet, kann zwar verfolgt im Sinne von Art. 3 Abs. 1 und 2 AsylG und demzufolge schutzbedürftig sein. Um aber die Flüchtlingseigenschaft erfüllen zu können, muss er gemäss völkerrechtlichen Grundsätzen das Heimatland verlassen haben (vgl. u. a. Handbuch des UNHCR, Genf 1993, § 88; Walter Kälin, Grundriss des Asylverfahrens, Basel / Frankfurt a. M. 1990, S. 32 f.). Die Beschwerdeführer befanden sich im Zeitpunkt der Gesuchseinreichung in ihrem Heimatstaat, wo sie sich noch heute aufhalten. Sie erfüllen somit die Voraussetzung des Verlassens des Heimatlandes nicht. Die Beschwerde ist deshalb bezüglich der Flüchtlingseigenschaft - wenn auch aus einem anderen Grund als dem in der angefochtenen Verfügung angeführten - abzuweisen. Festzuhalten ist demnach, dass sich die Frage der Flüchtlingseigenschaft zur Zeit gar nicht stellt, weshalb von der Vorinstanz darüber nicht hätte befunden werden müssen. d. In der Botschaft zum Asylgesetz vom 31. August 1977 wird mit Bezug auf die Bestimmung von Art. 6 AsylG (vgl. BBl 1977 III 119) ausgeführt, dass Abs. 2 die Asylgewährung von Personen regle, die sich im Gegensatz zu den unter Abs. 1 Genannten ausserhalb der Schweiz befinden und bei welchen vorerst anzunehmen sei, dass kein besonderer Grund dafür spreche, dass die Schweiz den einzigen Ausweg darstelle. Bei solchen Asylgesuchen</w:t>
      </w:r>
    </w:p>
    <w:p>
      <w:r>
        <w:rPr>
          <w:b/>
        </w:rPr>
        <w:t>E. 4</w:t>
      </w:r>
    </w:p>
    <w:p>
      <w:r>
        <w:t>rechtfertige sich eine restriktivere Umschreibung der Voraussetzungen für eine Aufnahme als bei der ersten Gruppe. Da grundsätzlich die Aufnahme von Flüchtlingen ihre Grenze an der objektiven Kapazität des Asylstaates finde und zudem ein Rechtsanspruch auf Asyl nicht bestehe, könne es verantwortet werden, bei Flüchtlingen ohne jede ersichtliche Beziehung zur Schweiz die Voraussetzungen für eine Ablehnung des Asylgesuches so zu umschreiben, dass den Behörden ein weiter Ermessensspielraum eingeräumt werde und alle in Betracht fallenden Umstände berücksichtigt werden können. e. In der Lehre sind die Auffassungen hinsichtlich der im Zusammenhang mit Art. 6 Abs. 2 AsylG zu prüfenden Voraussetzungen geteilt. Werenfels (Samuel Werenfels, Der Begriff des Flüchtlings im schweizerischen Asylrecht, Bern 1987, S. 142 ff.) führt aus, Asylgesuche aus dem Ausland könnten unabhängig vom Ausmass der Verfolgung des Gesuchstellers abgelehnt werden, wenn der Gesuchsteller auch in einem anderen Land um Aufnahme nachsuchen könne. Dies werde in der Praxis in aller Regel bereits dann angenommen, wenn nicht eine besondere Beziehungsnähe zur Schweiz vorhanden sei. Kälin macht dagegen geltend, eine Anwendung von Art. 6 AsylG setze voraus, dass die Ausreise in einen Drittstaat möglich sei und ausgeschlossen werden könne, dass dort irgendwelche Gefahren für Betroffene bestehen würden (vgl. Kälin, a. a. O., S. 165 Fn. 65 und S. 213). Mit Art. 6 AsylG sei der altrechtliche Grundsatz von Art. 21 Abs. 1 der Verordnung vom 1. März 1949 zum Bundesgesetz über Aufenthalt und Niederlassung der Ausländer (ANAV, SR 142.201) gesetzlich verankert worden, wonach unser Land nicht bereit sei, Flüchtlingen Asyl zu gewähren, welche in einem Drittstaat effektiven Schutz vor Verfolgung erlangen könnten. Dabei könne es sich nicht um irgend einen beliebigen Staat handeln, vielmehr müsse der Gesuchsteller zum betreffenden Land bereits gewisse enge Beziehungen besitzen, welche sich im Falle von Abs. 2 aus momentanem Aufenthalt ergeben könnten. Achermann/Hausammann (Alberto Achermann / Christina Hausammann, Handbuch des Asylrechts, 2. Aufl., Bern und Stuttgart 1991, S. 153 ff.) fordern im Falle einer Anwendung von Art. 6 Abs. 2 AsylG in Analogie zu Abs. 1 derselben Bestimmung, dass der Gesuchsteller im Ausland nicht mit asylrechtlich relevanter Verfolgung oder mit Rückschiebung in den Heimatstaat rechnen müsse, und dass er die Möglichkeit haben müsse, eine Bewilligung für dauernden Aufenthalt zu erlangen; kurz, es sei zu prüfen, ob der Gesuchsteller im Ausland effektiven und dauernden Schutz vor Verfolgung erlangen könne (vgl. auch Alberto Achermann / Mario Gattiker, Sichere Drittstaaten, in ASYL 1994 Nr. 2, S. 31). f. Wie bereits in einem Entscheid (nicht publiziertes Urteil der ARK vom</w:t>
      </w:r>
    </w:p>
    <w:p>
      <w:r>
        <w:rPr>
          <w:b/>
        </w:rPr>
        <w:t>E. 6</w:t>
      </w:r>
    </w:p>
    <w:p>
      <w:r>
        <w:t>März 1996 i. S. M. M. O. L., Zaire) ausführlich dargelegt, greift die von Werenfels vertretene Interpretation von Art. 6 Abs. 2 AsylG nach Auffassung der Asylrekurskommission zu kurz. Ausschlaggebend kann nicht allein die fehlende Beziehungsnähe zur Schweiz sein; vielmehr ist nebst der Beziehungsnähe zur Schweiz auch auf weitere Elemente, insbesondere die Möglichkeit, in weiteren Staaten Schutz vor Verfolgung finden zu können, hinsichtlich der Frage der Zumutbarkeit abzustellen. Welche dieser Kriterien erfüllt sein müssen, damit die Zumutbarkeit im Sinne von Art. 6 Abs. 2 AsylG verneint werden kann, lässt sich nicht allgemein festlegen. Aufgrund des Gesagten wird die fehlende Beziehungsnähe zur Schweiz allein für eine Anwendung von Art. 6 Abs. 2 AsylG nicht ausreichen; 5</w:t>
      </w:r>
    </w:p>
    <w:p>
      <w:r>
        <w:t>umgekehrt ist nicht zu fordern, dass sämtliche im konkreten Einzelfall in Frage kommenden Kriterien kumulativ erfüllt sein müssen, damit Art. 6 Abs. 2 AsylG angewendet werden kann. Letztlich erscheint im Einzelfall entscheidend, ob es einem verständigen Dritten in vergleichbarer Situation praktisch möglich ist und objektiv zugemutet werden kann, sich in einen anderen Staat zu begeben (oder dort zu verbleiben) und diesen um Aufnahme zu ersuchen (vgl. unveröffentlichte Urteile vom 6. März 1996 i. S. M. M. O. L., Zaire, und vom 14. Januar 1997 i. S. R. R., Sri Lanka, m. w. H.). Oder anders ausgedrückt: Vorausgesetzt wird, dass ein im Sinne von Art. 3 AsylG Verfolgter des Schutzes durch Asylgewährung bedarf und es aufgrund der ganzen Umstände geboten erscheint, dass es die Schweiz ist, die diesen Schutz gewähren soll. Dies entspricht dem gesetzgeberischen Willen insofern, als sich aus der Botschaft zum Asylgesetz vom 31. August 1977 (BBl 1977 III 118 f.) ausdrücklich ergibt, dass im Rahmen des den Behörden eingeräumten weiten Ermessensspielraums alle in Betracht fallenden Umstände - beispielsweise auch die Eingliederungs- und Assimilationsmöglichkeiten - berücksichtigt werden sollen. g. Im vorliegenden Fall stellte die Vorinstanz zunächst zutreffend fest, dass der Beschwerdeführer und seine Familie über keine besonders engen Beziehungen zur Schweiz verfügen. Ein zweimaliger Kurzaufenthalt als Touristen in der Schweiz und die Tatsache, dass die Familie des Beschwerdeführers die französische Sprache spricht, vermag die Anforderungen an eine derartige Anknüpfung mit der Schweiz nicht zu erfüllen. Es kommt hinzu, dass sich auch keine mit dem Beschwerdeführer verwandten oder befreundeten Personen in der Schweiz aufhalten. Ferner macht der Beschwerdeführer zwar geltend, er habe mindestens fünf Staaten um Gewährung vorübergehenden Aufenthalts angegangen. Er hat indessen diese Angaben in keiner Weise konkretisiert - es wurde nicht angegeben, wann er welche Staaten worum ersucht hat - noch hat er seine diesbezüglichen Vorbringen mit Beweismitteln unterlegt. Dies ist vor allem deshalb von Bedeutung, weil aufgrund der Aktenlage gewisse Anknüpfungspunkte zu anderen Staaten bestehen. Seinen Ausführungen und seinem Lebenslauf ist nämlich zu entnehmen, dass der Beschwerdeführer offensichtlich über relativ enge Beziehungen zu Frankreich verfügt. Es ist dem Beschwerdeführer daher ohne weiteres zuzumuten, dass er sich in Frankreich oder einem der Staaten in der Heimatregion um Schutzgewährung bemüht. Da er bislang sein Heimatland nicht verlassen hat und er insbesondere auch nicht geltend gemacht hat, dazu nicht in der Lage gewesen zu sein, ist davon auszugehen, er sei nicht dermassen ernsthaften Nachteilen ausgesetzt oder er habe nicht dermassen begründete Furcht, inskünftig solchen Nachteilen ausgesetzt zu sein, dass er sich diesen nur durch Flucht ins Ausland zu entziehen vermöchte. Die Voraussetzungen für eine Anwendung von Art. 6 Abs. 2 AsylG sind demnach - da der Sachverhalt in ausreichender Weise erstellt ist und es nicht als geboten erscheint, dass die Schweiz Schutz gewähren soll - insgesamt gegeben. [7] Vgl. oben Fussnote 1, S. 19. [8] Cf. ci-dessus note 2, p. 20. [9] Cfr. sopra nota 3, pag. 20.</w:t>
      </w:r>
    </w:p>
    <w:p>
      <w:r>
        <w:rPr>
          <w:b/>
        </w:rPr>
        <w:t>E. 7</w:t>
      </w:r>
    </w:p>
    <w:p>
      <w:r>
        <w:t>Schweizerisches Bundesarchiv, Digitale Amtsdruckschriften Archives fédérales suisses, Publications officielles numérisées Archivio federale svizzero, Pubblicazioni ufficiali digitali JAAC 62.5 - Auszug aus einem Entscheid der Schweizerischen Asylrekurskommission vom</w:t>
      </w:r>
    </w:p>
    <w:p>
      <w:r>
        <w:rPr>
          <w:b/>
        </w:rPr>
        <w:t>E. 8</w:t>
      </w:r>
    </w:p>
    <w:p>
      <w:r>
        <w:t>Juli 1997 In Verwaltungspraxis der Bundesbehörden Dans Jurisprudence des autorités administratives de la Confédération In Giurisprudenza delle autorità amministrative della Confederazione Jahr 1998 Année Anno Band 62 Volume Volume Seite --- Page Pagina Ref. No 150 003 971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