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62.33 vom 17. Oktober 1996</w:t>
      </w:r>
    </w:p>
    <w:p>
      <w:r>
        <w:t>Bundesverwaltung, 1996-10-17, DE</w:t>
      </w:r>
    </w:p>
    <w:p>
      <w:r>
        <w:rPr>
          <w:b/>
        </w:rPr>
        <w:t xml:space="preserve">Quelle: </w:t>
      </w:r>
      <w:r>
        <w:t>https://mcp.opencaselaw.ch/entscheid/ch_vb_JAAC_62.33__</w:t>
      </w:r>
    </w:p>
    <w:p>
      <w:r>
        <w:t>FR: CH_VB JAAC 62.33 du 17 octobre 1996</w:t>
      </w:r>
    </w:p>
    <w:p>
      <w:r>
        <w:t>IT: CH_VB JAAC 62.33 del 17 ottobre 1996</w:t>
      </w:r>
    </w:p>
    <w:p>
      <w:pPr>
        <w:pStyle w:val="Heading2"/>
      </w:pPr>
      <w:r>
        <w:t>Erwägungen</w:t>
      </w:r>
    </w:p>
    <w:p>
      <w:r>
        <w:rPr>
          <w:b/>
        </w:rPr>
        <w:t>E. 1</w:t>
      </w:r>
    </w:p>
    <w:p>
      <w:r>
        <w:t>Januar 1998 aufgehoben und das von der Telecom PTT zu übernehmende Personal werde im Beamtenstatus übernommen. Das EVED hält in seiner Duplik vom 23. April 1997 an seinem Standpunkt fest und führt aus, im Zeitpunkt der Nichtwahlverfügung sei keineswegs klar gewesen, wie stark die Abteilung RTV von der Reorganisation betroffen sein würde. Die vom Beschwerdeführer aufgeführten «neuen Sachverhalte» könnten höchstens dazu führen, per 1998 für den Rest der laufenden Amtsdauer einige bisherige Angestellte neu zu Beamten zu wählen. Daraus ein Recht auf rückwirkende Beamtung abzuleiten, wäre jedoch falsch.</w:t>
      </w:r>
    </w:p>
    <w:p>
      <w:r>
        <w:rPr>
          <w:b/>
        </w:rPr>
        <w:t>E. 2</w:t>
      </w:r>
    </w:p>
    <w:p>
      <w:r>
        <w:t>(...) 3.a. Nach Art. 1 BtG gilt als Beamter, wer als solcher vom Bundesrat, von einer ihm nachgeordneten Amtsstelle oder von einem eidgenössischen Gericht in ein Amt gewählt wird, das im Bundesratsbeschluss vom 18. Oktober 1972 über das Ämterverzeichnis (SR 172.221.111) aufgeführt ist. Der Bewerber hat über die Wahlfähigkeit (Art. 2 BtG) und bestimmte Wahlerfordernisse zu verfügen, insbesondere muss seine dauernde Beschäftigung im Amt sichergestellt erscheinen (Art. 4 Abs. 3 BtG). Das Beamtengesetz sieht indessen, selbst wenn die Wahlvoraussetzungen erfüllt sind, keinen Anspruch auf Wahl zum Beamten vor (Peter Hänni, Personalrecht des Bundes, in: Heinrich Koller / Georg Müller / René Rhinow / Ulrich Zimmerli [Hrsg.], Schweizerisches Bundesverwaltungsrecht, Loseblatt Basel und Frankfurt am Main, Rz. 38). Gemäss dem Wortlaut von Art. 4 Abs. 3 BtG kann die Wahl unter den genannten Voraussetzungen erfolgen, muss es aber nicht. Der</w:t>
      </w:r>
    </w:p>
    <w:p>
      <w:r>
        <w:rPr>
          <w:b/>
        </w:rPr>
        <w:t>E. 3</w:t>
      </w:r>
    </w:p>
    <w:p>
      <w:r>
        <w:t>Entscheid liegt im Ermessen der Wahlbehörde, was sich auch aus Art. 1 des Bundesratsbeschlusses über das Ämterverzeichnis ergibt, wonach den Trägern der dort genannten Funktionen die Eigenschaft von Beamten zukommt, wenn d. h. unter der Bedingung, dass sie als solche gewählt worden sind (BGE 118 Ib 291 f. E. 2a und 3b). b. Der Beschwerdeführer bringt vor, er erfülle spätestens seit dem 1. März 1995 die Voraussetzungen für die Wahl zum Beamten gemäss Art. 4 BtG, insbesondere sei seine Stelle für die Dauer der Wahlperiode hinreichend gesichert. Demgegenüber vertritt das EVED die Auffassung, im Zeitpunkt der Verfügung vom 17. Oktober 1996 hätten die künftige Struktur des BAKOM und damit die Dauerhaftigkeit sowie der Umfang der einzelnen Funktionen der Mitarbeiter noch nicht festgestanden. Das EVED legt überzeugend dar, dass das BAKOM aufgrund der Revision des Fernmeldegesetzes vom 21. Juni 1991 (FMG, SR 784.10) vor neue Aufgaben gestellt wird (vgl. Botschaft zum revidierten FMG, BBl 1996 III 1409, 1413, 1419, insbesondere 1421 ff.). Diese bestehen einerseits in der Wahrung von hoheitlichen Regulations- und Aufsichtsfunktionen, die bislang von der Telecom PTT wahrgenommen wurden und andererseits in der Übernahme von neuen Aufgaben, die sich aus dem revidierten FMG als «Marktgesetz» ergeben. Dabei soll das BAKOM, soweit möglich, diese Aufgaben nach den Grundsätzen der wirkungsorientierten Verwaltungsführung wahrnehmen. Namentlich soll damit die nötige Flexibilität, Transparenz und Aufgabenerfüllung nach betriebswirtschaftlichen Grundsätzen sichergestellt werden (BBl 1996 III 1422). Die Revision des FMG verändert somit nicht nur das Plichtenheft des BAKOM, sondern auch das seiner Bediensteten. Die in der Verfügung des EVED vom 17. Oktober 1996 zur Nichtwahl des Beschwerdeführers angeführte Begründung, die Dauerhaftigkeit der einzelnen Funktionen der Mitarbeiter des BAKOM stünde zur Zeit nicht fest, erweist sich in Würdigung dieser Umstände als zutreffend. Die Nichtwahl zum Beamten lässt sich dabei auch heute noch rechtfertigen, selbst wenn sich die Ausgangslage in einigen Punkten zwischenzeitlich offenbar verändert hat (vgl. das Informationspapier «BAKOM 98 NEWS» Nrn. 3 und 5 vom Dezember 1996 bzw. Mai 1997). Die Nichtwahl ist nicht bereits dann nicht mehr gerechtfertigt, wenn bezogen auf einen einzelnen Mitarbeiter inzwischen Klarheit über seine Verwendung eingetreten ist. Bei einer Reorganisation, wie sie hier in Frage steht, ist es vielmehr angezeigt, mit personalrechtlichen Massnahmen abzuwarten, bis die Reorganisation als Ganzes abgeschlossen ist. Die vom EVED angeführte Begründung, aufgrund der geschilderten Reorganisationsmassnahmen beim BAKOM seit einiger Zeit keine Angestellten mehr zu Beamten zu wählen, ist zwar sehr pauschal formuliert. Sie erweist sich aber mit Blick auf Art. 4 Abs. 3 BtG, welcher der Wahlbehörde bei der Beurteilung der dauernden Beschäftigung im Amt und des Vorliegens organisatorischer Gründe, welche der Wahl zum Beamten entgegenstehen, Entschliessungsermessen einräumt (BGE 118 Ib 292 E. 2b), nicht als unangemessen, sofern das EVED diese von ihm gewählte Praxis rechtsgleich anwendet. Die Wahl von drei Bediensteten zu Beamten auf 1. Mai bzw. 1. September 1995 bedeutet keine rechtsungleiche Behandlung mit dem Beschwerdeführer und steht nicht im Widerspruch zur erwähnten Wahlpraxis, da sie in Zusammenhang mit der Beförderung in eine Kaderposition vollzogen wurde. Zudem wurden diese Beamten im Rahmen des Wiederwahlverfahrens</w:t>
      </w:r>
    </w:p>
    <w:p>
      <w:r>
        <w:rPr>
          <w:b/>
        </w:rPr>
        <w:t>E. 4</w:t>
      </w:r>
    </w:p>
    <w:p>
      <w:r>
        <w:t>Nach dem in E. 3b hiervor Gesagten ist die Nichtwahl des Beschwerdeführers nicht zu beanstanden. Die Beschwerde erweist sich demnach grundsätzlich als unbegründet. Damit ist zugleich der Antrag auf rückwirkende Wahl zum Beamten abzuweisen. Eine rückwirkende Wahl zum Beamten wird zwar im BtG nicht ausdrücklich ausgeschlossen, eine solche wäre indes völlig sinnwidrig, stellt doch die Wahl die Begründung eines neuen Dienstverhältnisses dar. Die Wahl zum Beamten bewirkt nicht einfach eine Fortsetzung des Angestelltenverhältnisses, sondern beruht auf neuen und eigenständigen Rechten und Pflichten. Daran vermag nichts zu ändern, dass die beiden Dienstverhältnisse in bezug auf die Dienst- und Treuepflicht sowie die vermögenswerten und übrigen Rechte weitgehend analog geregelt sind. Dabei ist der Beschwerdeführer insbesondere darauf hinzuweisen, dass das Streikverbot auch für den öffentlichrechtlichen Angestellten gilt (Art. 25 AngO). Aus diesen Gründen kommt die rückwirkende Wahl des Beschwerdeführers für die Amtsdauer 19972000 nicht in Betracht. Ganz abgesehen davon, dass eine solche Wahl ihn gegenüber den andern Beamten des BAKOM, die für die Amtsdauer 19972000 lediglich mit Vorbehalt wiedergewählt wurden, in unzulässiger Weise bevorteilen würde. Die vom Beschwerdeführer in seinem Hauptbegehren verlangte Wahl zum Beamten per 1. März 1995 ist allein schon deshalb unmöglich, weil die Amtsperiode 19931996 bereits abgelaufen ist.</w:t>
      </w:r>
    </w:p>
    <w:p>
      <w:r>
        <w:rPr>
          <w:b/>
        </w:rPr>
        <w:t>E. 5</w:t>
      </w:r>
    </w:p>
    <w:p>
      <w:r>
        <w:t>einer diesbezüglichen Regelung ist durchaus beabsichtigt. Denn eine Wahl mit Vorbehalt erwiese sich als unangebracht, da die Wahlbehörde, sollte ein Grund für einen Vorbehalt im Sinne von Art. 5 Abs. 1 Wahlverordnung vorliegen, den Angestellten gar nicht in ein Amt wählen könnte, dessen Bestand zum vornherein nicht gesichert ist (vgl. Art. 4 Abs. 3 BtG).</w:t>
      </w:r>
    </w:p>
    <w:p>
      <w:r>
        <w:rPr>
          <w:b/>
        </w:rPr>
        <w:t>E. 6</w:t>
      </w:r>
    </w:p>
    <w:p>
      <w:r>
        <w:t>Schweizerisches Bundesarchiv, Digitale Amtsdruckschriften Archives fédérales suisses, Publications officielles numérisées Archivio federale svizzero, Pubblicazioni ufficiali digitali JAAC 62.33 - Auszug aus einem Entscheid der Eidgenössischen Personalrekurskommission vom 14. Juli 1997 In Verwaltungspraxis der Bundesbehörden Dans Jurisprudence des autorités administratives de la Confédération In Giurisprudenza delle autorità amministrative della Confederazione Jahr 1998 Année Anno Band 62 Volume Volume Seite --- Page Pagina Ref. No 150 003 881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