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61.39 vom 20. Mai 1996</w:t>
      </w:r>
    </w:p>
    <w:p>
      <w:r>
        <w:t>Bundesverwaltung, 1996-05-20, DE</w:t>
      </w:r>
    </w:p>
    <w:p>
      <w:r>
        <w:rPr>
          <w:b/>
        </w:rPr>
        <w:t xml:space="preserve">Quelle: </w:t>
      </w:r>
      <w:r>
        <w:t>https://mcp.opencaselaw.ch/entscheid/ch_vb_JAAC_61.39__</w:t>
      </w:r>
    </w:p>
    <w:p>
      <w:r>
        <w:t>FR: CH_VB JAAC 61.39 du 20 mai 1996</w:t>
      </w:r>
    </w:p>
    <w:p>
      <w:r>
        <w:t>IT: CH_VB JAAC 61.39 del 20 maggio 1996</w:t>
      </w:r>
    </w:p>
    <w:p>
      <w:pPr>
        <w:pStyle w:val="Heading2"/>
      </w:pPr>
      <w:r>
        <w:t>Erwägungen</w:t>
      </w:r>
    </w:p>
    <w:p>
      <w:r>
        <w:rPr>
          <w:b/>
        </w:rPr>
        <w:t>E. 9</w:t>
      </w:r>
    </w:p>
    <w:p>
      <w:r>
        <w:t>März 1992 nicht ein Verwaltungsverfahren auf Erlass einer anfechtbaren Verfügung hätte durchführen dürfen, hätte S. im vorinstanzlichen Verfahren, welches lediglich nach Art. 71 VwVG auszugestalten gewesen wäre, keine Parteistellung als materielle Verfügungsadressatin zukommen dürfen. Da sie von der Vorinstanz zu Unrecht als Partei behandelt wurde, kann S. im vorliegenden Beschwerdeverfahren nicht die passive Parteirolle einer Beschwerdegegnerin innehaben (vgl. Marino Leber, Die Beteiligten am Verwaltungsprozess, recht 1985, S. 25 f. mit weiteren Hinweisen). Denn soweit einer Person in einem vorinstanzlichen Verfahren keine Parteistellung zukommen durfte, kann ihr in einem nachfolgenden Rechtsmittelverfahren grundsätzlich auch keine Parteistellung zukommen, es sei denn, dass diese Person zur Beschwerdeführung gegen den vorinstanzlichen Entscheid legitimiert ist und davon Gebrauch macht. Mit anderen Worten kann S. mangels Parteistellung im vorinstanzlichen Verfahren vorliegend nicht als Beschwerdegegnerin gelten, und es kann ihr demzufolge weder ein Anspruch auf Ausübung von Parteirechten noch ein Anspruch auf rechtliches Gehör zuerkannt werden (Gygi, Bundesverwaltungsrechtspflege, a. a. O., S. 175). Verfahrensrechtlich ist S. somit als «andere Beteiligte» im Sinne von Art. 57 Abs. 1 VwVG zu behandeln, weshalb sie auch kein Kostenrisiko zu tragen hat (Gygi, Bundesverwaltungsrechtspflege, a. a. O., S. 175, 179, 328 f.). Ist die angefochtene Verfügung vom 18. Mai 1995 wegen Verfügungsunzuständigkeit aufzuheben, so ist nach dem Gesagten auf die nach wie vor hängige Mietzinsanfechtung vom 5. Januar 1992, welche vom Bundesamt als «Einsprache gegen die Mietzinserhöhung vom</w:t>
      </w:r>
    </w:p>
    <w:p>
      <w:r>
        <w:rPr>
          <w:b/>
        </w:rPr>
        <w:t>E. 10</w:t>
      </w:r>
    </w:p>
    <w:p>
      <w:r>
        <w:t>Dezember 1991» behandelt wurde, nicht einzutreten. Eine Überweisung dieser «Einsprache» an die zuständige Aufsichtsbehörde drängt sich nicht auf, nachdem das Bundesamt selbst von einer Überschreitung der amtlich festgesetzten Mietzinse ausgeht, und angenommen werden kann, dass es eine Rückforderungsklage zu Gunsten von S. einreichen würde, sofern dies angesichts der zwischen der Beschwerdeführerin und S. möglicherweise bestehenden Verrechnungslage im Zusammenhang mit der Nebenkostenforderung überhaupt sinnvoll ist und sofern das Bundesamt keine anderweitige Einigung mit der Beschwerdeführerin erreicht. Ob das Bundesamt der Beschwerdeführerin gegebenenfalls eine Rückzahlungsfrist von drei Monaten einräumen soll, muss in diesem Verfahren nicht beantwortet werden. In diesem Sinne sind die «Einsprache-Akten» ans Bundesamt zurückzusenden. 7</w:t>
      </w:r>
    </w:p>
    <w:p>
      <w:r>
        <w:t>Weil das Bundesamt bei gegebenen Voraussetzungen im Rückforderungsprozess die Klägerrolle einzunehmen hätte, kommt eine Behandlung der vorliegenden Beschwerde als Klage oder Klageantwort aus verfahrensrechtlichen Gründen nicht in Frage. (Die Rekurskommission EVD heisst die Beschwerde, soweit darauf einzutreten ist, gut und hebt den angefochtenen Einspracheentscheid auf) 8</w:t>
      </w:r>
    </w:p>
    <w:p>
      <w:r>
        <w:t>Schweizerisches Bundesarchiv, Digitale Amtsdruckschriften Archives fédérales suisses, Publications officielles numérisées Archivio federale svizzero, Pubblicazioni ufficiali digitali JAAC 61.39 - Auszug aus dem Beschwerdeentscheid der Rekurskommission EVD vom 20. Mai 1996 in Sachen Genossenschaftsgruppe H. gegen Bundesamt für Wohnungswesen; 95/CC-004 In Verwaltungspraxis der Bundesbehörden Dans Jurisprudence des autorités administratives de la Confédération In Giurisprudenza delle autorità amministrative della Confederazione Jahr 1997 Année Anno Band 61 Volume Volume Seite --- Page Pagina Ref. No 150 003 470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