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61.37 vom 17. Dezember 1996</w:t>
      </w:r>
    </w:p>
    <w:p>
      <w:r>
        <w:t>Bundesverwaltung, 1996-12-17, DE</w:t>
      </w:r>
    </w:p>
    <w:p>
      <w:r>
        <w:rPr>
          <w:b/>
        </w:rPr>
        <w:t xml:space="preserve">Quelle: </w:t>
      </w:r>
      <w:r>
        <w:t>https://mcp.opencaselaw.ch/entscheid/ch_vb_JAAC_61.37__</w:t>
      </w:r>
    </w:p>
    <w:p>
      <w:r>
        <w:t>FR: CH_VB JAAC 61.37 du 17 décembre 1996</w:t>
      </w:r>
    </w:p>
    <w:p>
      <w:r>
        <w:t>IT: CH_VB JAAC 61.37 del 17 dicembre 1996</w:t>
      </w:r>
    </w:p>
    <w:p>
      <w:pPr>
        <w:pStyle w:val="Heading2"/>
      </w:pPr>
      <w:r>
        <w:t>Erwägungen</w:t>
      </w:r>
    </w:p>
    <w:p>
      <w:r>
        <w:rPr>
          <w:b/>
        </w:rPr>
        <w:t>E. 2</w:t>
      </w:r>
    </w:p>
    <w:p>
      <w:r>
        <w:t>c. Abweisung von Begehren auf Begründung, Änderung, Aufhebung oder Feststellung von Rechten oder Pflichten, oder Nichteintreten auf solche Begehren.» Als Verfügungen gelten auch Vollstreckungsverfügungen, Zwischenverfügungen, Einspracheentscheide, Beschwerdeentscheide, Entscheide im Rahmen einer Revision und die Erläuterung (Art. 5 Abs. 2 VwVG). Die Verfügung regelt ein individuelles Rechtsverhältnis des Verwaltungsrechts durch einseitigen hoheitlichen Akt in verbindlicher Weise. Die Verfügung des materiellen Verwaltungsrechts ist deswegen Anfechtungsobjekt der nachträglichen, an die Verfügung anschliessenden Verwaltungsrechtspflege, weil sie für die Beteiligten eine verbindliche, durchsetzbare und nicht ohne weiteres umstössliche Regelung eines konkreten Rechtsverhältnisses in sich schliesst, und sie nach Eintreten ihrer Rechtskraft endgültig bindend ist (Gygi, a. a. O., S. 126 ff.). Die konkrete Berechtigung, die bestimmte Verpflichtung, die Ablehnung des dahin zielenden Rechtsbegehrens muss im Dispositiv der Verfügung angeordnet werden. Nur das Dispositiv erwächst in Rechtskraft, nicht aber die Begründung der Verfügung, welche nach Art. 35 Abs. 1 VwVG zu erfolgen hat (Max Imboden / René A. Rhinow, Schweizerische Verwaltungsrechtsprechung, Band I, Basel/Stuttgart 1976, Nr. 35, S. 217). Dabei kommt es allerdings nicht auf die äussere Form der Verfügung an. So muss nicht alles, was im Dispositiv steht, Verfügungscharakter haben; ebenso aber können als Begründung bezeichnete Teile dispositiver Natur sein. In diesem Zusammenhang ist zu berücksichtigen, dass zwar grundsätzlich nur das Dispositiv eines Entscheides, nicht aber dessen Begründung anfechtbar ist (BGE 113 V 159 E. 1c).</w:t>
      </w:r>
    </w:p>
    <w:p>
      <w:r>
        <w:rPr>
          <w:b/>
        </w:rPr>
        <w:t>E. 2.1</w:t>
      </w:r>
    </w:p>
    <w:p>
      <w:r>
        <w:t>Anfechtungsobjekt im Verwaltungsbeschwerdeverfahren bildet die Verfügung (Art. 5 und 44 des Bundesgesetzes vom 20. Dezember 1968 über das Verwaltungsverfahren [VwVG], SR 172.021). Die vorliegende Beschwerde richtet sich gegen die Punktzahl und die entsprechende Benotung im Fach Rechnungswesen. Massgebend ist, ob diese Benotung eine Verfügung im Sinne von Art. 5 VwVG darstellt (VPB 60.57 E. 1). Im Rahmen der Eintretensfrage gilt es nachfolgend vorab abzuklären, ob die angefochtene Benotung die Anforderungen an eine Verfügung erfüllt. Unter einer Verfügung versteht das Verwaltungsverfahrensgesetz eine Anordnung einer Behörde im Einzelfall, die sich auf öffentliches Recht des Bundes stützt und zum Gegenstand hat (Art. 5 Abs. 1 VwVG): «a. Begründung, Änderung oder Aufhebung von Rechten oder Pflichten; b. Feststellung des Bestehens, Nichtbestehens oder Umfanges von Rechten oder Pflichten;</w:t>
      </w:r>
    </w:p>
    <w:p>
      <w:r>
        <w:rPr>
          <w:b/>
        </w:rPr>
        <w:t>E. 2.2</w:t>
      </w:r>
    </w:p>
    <w:p>
      <w:r>
        <w:t>Dem Beschwerdeführer ist das Diplom erteilt worden, weil er die Prüfung reglementsgemäss bestanden hat. Sein Rechtsbegehren kann sich somit nicht gegen das Nichtbestehen der Prüfung beziehungsweise gegen die Verweigerung des Diploms richten; was vorliegend angefochten wird, ist ausschliesslich die ungenügende Note 3,5 im Prüfungsfach Rechnungswesen. Um abzuklären, ob der Einwand des Beschwerdeführers begründet ist, gilt es vorab die Anfechtbarkeit einzelner Prüfungsnoten zu untersuchen, und schliesslich die daraus für den vorliegenden Fall resultierenden Schlussfolgerungen zu ziehen.</w:t>
      </w:r>
    </w:p>
    <w:p>
      <w:r>
        <w:rPr>
          <w:b/>
        </w:rPr>
        <w:t>E. 2.3</w:t>
      </w:r>
    </w:p>
    <w:p>
      <w:r>
        <w:t>Der Entscheid über das Bestehen oder Nichtbestehen einer Prüfung stellt unbestrittenermassen eine anfechtbare Verfügung dar (unveröffentlichter Beschwerdeentscheid der REKO/EVD vom 25. Juli 1995 in Sachen G. [94/4K-011], E. 4.1). Jedoch spricht die Praxis der Benotung grundsätzlich keinen Verfügungscharakter zu (Zentralblatt für Staats- und Verwaltungsrecht [ZBl] 82/1981, S. 331; VPB 60.45, 51.8, 45.38). Berücksichtigt wird die Besonderheit bei der Anfechtung von Berufs- und Fachprüfungen, wonach einzig das Prüfungsergebnis - nämlich der Entscheid über das Bestehen oder Nichtbestehen der Prüfung beziehungsweise die Diplomerteilung - Streitgegenstand bilden kann (vgl. Art. 68 Bst. a des Bundesgesetzes vom 19. April 1978 über die Berufsbildung [BBG], SR 412.10). Die einzelnen (Teil-)Noten begründen dagegen weder eine direkte Veränderung der Rechtsstellung des Geprüften, noch haben sie den Charakter einer Feststellungsverfügung. Entsprechend werden sie lediglich als Teil der</w:t>
      </w:r>
    </w:p>
    <w:p>
      <w:r>
        <w:rPr>
          <w:b/>
        </w:rPr>
        <w:t>E. 3</w:t>
      </w:r>
    </w:p>
    <w:p>
      <w:r>
        <w:t>Im vorliegenden Fall ist die Vorinstanz trotz Fehlens eines Anfechtungsobjektes auf die Beschwerde eingetreten und hat sie abgewiesen. Aus den vorstehenden Erwägungen geht hervor, dass die Vorinstanz zu Unrecht auf die Verwaltungsbeschwerde eingetreten ist. Sofern die vorliegende Beschwerde die Aufhebung des vorinstanzlichen Eintretensentscheides verlangt, muss sie demnach gutgeheissen und die angefochtene Verfügung aufgehoben werden. Auf die weiteren Rügen des Beschwerdeführers, soweit sie die Anfechtung der Teilnote im Prüfungsfach Rechnungswesen betreffen, kann nicht eingetreten werden. (...) (Die Rekurskommission EVD heisst die Beschwerde teilweise gut, hebt den angefochtenen Entscheid auf und tritt im weiteren auf die Beschwerde nicht ein) [4] Vgl. auch oben Nr. 31 E. 3.2.1, S. 328; Nr. 34 E. 5, S. 357; Nr. 35 E. 5, S. 363.</w:t>
      </w:r>
    </w:p>
    <w:p>
      <w:r>
        <w:rPr>
          <w:b/>
        </w:rPr>
        <w:t>E. 4</w:t>
      </w:r>
    </w:p>
    <w:p>
      <w:r>
        <w:t>Schweizerisches Bundesarchiv, Digitale Amtsdruckschriften Archives fédérales suisses, Publications officielles numérisées Archivio federale svizzero, Pubblicazioni ufficiali digitali JAAC 61.37 - Auszug aus dem Beschwerdeentscheid der Rekurskommission EVD vom 17. Dezember 1996 in Sachen D. gegen Prüfungskommission der HKG B. und Erziehungsdirektion des Kantons B.; 96/JC-002 In Verwaltungspraxis der Bundesbehörden Dans Jurisprudence des autorités administratives de la Confédération In Giurisprudenza delle autorità amministrative della Confederazione Jahr 1997 Année Anno Band 61 Volume Volume Seite --- Page Pagina Ref. No 150 003 464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