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61.23A_II vom 28. Juni 1996</w:t>
      </w:r>
    </w:p>
    <w:p>
      <w:r>
        <w:t>Bundesverwaltung, 1996-06-28, DE</w:t>
      </w:r>
    </w:p>
    <w:p>
      <w:r>
        <w:rPr>
          <w:b/>
        </w:rPr>
        <w:t xml:space="preserve">Quelle: </w:t>
      </w:r>
      <w:r>
        <w:t>https://mcp.opencaselaw.ch/entscheid/ch_vb_JAAC_61.23A_II__</w:t>
      </w:r>
    </w:p>
    <w:p>
      <w:r>
        <w:t>FR: CH_VB JAAC 61.23A_II du 28 juin 1996</w:t>
      </w:r>
    </w:p>
    <w:p>
      <w:r>
        <w:t>IT: CH_VB JAAC 61.23A_II del 28 giugno 1996</w:t>
      </w:r>
    </w:p>
    <w:p>
      <w:pPr>
        <w:pStyle w:val="Heading2"/>
      </w:pPr>
      <w:r>
        <w:t>Erwägungen</w:t>
      </w:r>
    </w:p>
    <w:p>
      <w:r>
        <w:rPr>
          <w:b/>
        </w:rPr>
        <w:t>E. 1</w:t>
      </w:r>
    </w:p>
    <w:p>
      <w:r>
        <w:t>Art. 92 Abs. 1 und 6 und Art. 109 Bst. b UVG. Prämientarif für die Nichtberufsunfallversicherung. Privatversicherungen. - Verfahren vor der Eidgenössischen Rekurskommission für die Unfallversicherung: Eintretensvoraussetzungen und Beschwerdelegitimation (E. 1), Überprüfungsbefugnis der Kommission (E. 3). - Gesetzes- und Verfassungsvorschriften, denen der Prämientarif entsprechen muss (E. 4). - Auswirkungen des neuen Tarifs auf die Versicherten (E. 5). - Vergleich mit anderen Sozialversicherungen (E. 6). - Bestehen einer statistisch erhärteten positiven Korrelation zwischen den Kosten für die Berufsunfälle und denjenigen für die Nichtberufsunfälle (E. 7). - Die neuen Vier-Klassen-Tarife der Privatversicherungen für die Nichtberufsunfallversicherung stützen sich auf die Unterteilung der Versicherten je nach Wirtschaftszweig bzw. Branchenzugehörigkeit. Die Zuteilung der Versicherten lässt sich in vier Schritte gliedern, die jeder für sich die Gebote der Gleichbehandlung und der Risikogerechtigkeit einhalten. Die Gesetz- und Verfassungsmässigkeit des Tarifs ist somit gegeben (E. 8). - Es ist nicht Sache der Rekurskommission, andere Kriterien, nach denen Tarifklassen auch gebildet werden könnten, zu überprüfen (E. 9). Art. 92 cpv. 1 e 6 e art. 109 lett. b LAINF. Tariffario dei premi dell’assicurazione contro gli infortuni non professionali. Istituto nazionale svizzero di assicurazione contro gli infortuni (INSAI) e assicurazione privata. - Procedura davanti alla Commissione federale di ricorso in materia di assicurazione contro gli infortuni: condizioni d’entrata nel merito e legittimazione a ricorrere (consid. 1), potere d’esame della commissione (consid. 3). - Disposizioni legali e costituzionali cui deve corrispondere il tariffario dei premi (consid. 4). - Conseguenze della nuova tariffa sugli assicurati (consid. 5). - Confronto con altre assicurazioni sociali (consid. 6). - Esistenza di una correlazione positiva e statisticamente comprovata fra i costi per gli infortuni professionali e quelli per gli infortuni non professionali (consid. 7). - Le nuove quattro classi tariffarie dell’assicurazione privata per l’assicurazione contro gli infortuni non professionali si fondano sulla suddivisione degli assicurati in funzione del settore economico rispettivamente del relativo ramo cui appartengono. La ripartizione</w:t>
      </w:r>
    </w:p>
    <w:p>
      <w:r>
        <w:rPr>
          <w:b/>
        </w:rPr>
        <w:t>E. 2</w:t>
      </w:r>
    </w:p>
    <w:p>
      <w:r>
        <w:t>degli assicurati si può riassumere in quattro tappe che rispettano ognuna i precetti di parità di trattamento e di conformità in materia di rischi. Sono quindi date legalità e costituzionalità delle tariffe (consid. 8). - Non è di competenza della Commissione di ricorso esaminare altri criteri su cui potrebbero parimenti basarsi le classi tariffarie (consid. 9). 1.-6. (Grundsätzliche Überlegungen zu Eintreten, Überprüfungsbefugnis, usw., vgl. Urteil betreffend die SUVA, VPB 61.23 A I, E. 1-6)</w:t>
      </w:r>
    </w:p>
    <w:p>
      <w:r>
        <w:rPr>
          <w:b/>
        </w:rPr>
        <w:t>E. 7</w:t>
      </w:r>
    </w:p>
    <w:p>
      <w:r>
        <w:t>Eine Differenzierung des Tarifs für diejenigen Versicherten, die nicht eine die betreffende Betriebsart charakterisierende Tätigkeit ausüben, ist auch im Hinblick auf die relativ geringe Prämiendifferenz, die die Differenzierung bewirken würde, nicht geboten (BGE 112 V 283). Schliesslich sprechen auch Überlegungen der Arbeitssicherheit für ein Anknüpfen an die Betriebs- bzw. Branchenzugehörigkeit, zumal sich die betriebliche Arbeitssicherheitskultur auch auf das Freizeitverhalten der Arbeitnehmenden auswirken dürfte und Anstösse für sicheres Verhalten in der Freizeit auch von den nach Wirtschaftszweigen organisierten Arbeitgeber- und Arbeitnehmerorganisationen ausgehen. c. Die Einteilung des Prämientarifs in der NBU-Versicherung in vier Klassen und die Zuteilung der Betriebe nach ihrer Betriebsart und Branchenzugehörigkeit zu einer dieser Klassen ist somit sachlich begründet, ist risikogerechter - wenn auch weniger solidarisch - als der frühere Einheitstarif und hält an sich vor Art. 4 BV stand (vgl. auch Hans-Peter Bär, Probleme äquivalenzorientierter Prämienbemessung am Beispiel der obligatorischen Unfallversicherung, Diss. Zürich 1994, S. 201; Franz von Arx, Eine salomonische Lösung in der NBUV, SUVA-Bulletin 1995/58, S. 2; von Arx / Molinaro, a. a. O., S. 6).</w:t>
      </w:r>
    </w:p>
    <w:p>
      <w:r>
        <w:rPr>
          <w:b/>
        </w:rPr>
        <w:t>E. 9</w:t>
      </w:r>
    </w:p>
    <w:p>
      <w:r>
        <w:t>Da die Versicherer bei der Aufstellung der Prämientarife innerhalb des Rahmens, den ihnen die Verfassung und das Gesetz stecken, autonom sind, ist es nicht Sache der Rekurskommission, andere Kriterien, nach denen Tarifklassen auch gebildet werden könnten (z. B. Alter, Wohnsitz, Freizeitbeschäftigungen der Versicherten, Wiedereingliederungsmöglichkeiten im Betrieb usw.), zu prüfen bzw. die Verwendung anderer Kriterien bzw. die Rückkehr zur Einheitsprämie oder aber die Differenzierung des Tarifs je nach den Risikoerfahrungen des einzelnen Betriebs (Bonus-Malus) zu empfehlen. Das Geschlecht als Kriterium für die Klassenbildung zu wählen, ist schon von Gesetzes wegen her nicht zulässig. Die Rekurskommission hat sich darauf zu beschränken, vorfrageweise die Rechtmässigkeit des Prämientarifs, wie er von den Versicherern geschaffen wurde, zu überprüfen, wobei von der Überprüfungsmöglichkeit zurückhaltend Gebrauch zu machen ist (vgl. Sozialversicherungsrecht [SVR] 1995 Krankenversicherung [KV] Nr. 60, S. 183, E. 7b/cc; BGE 112 V 287 f.). Zusammenfassend hat die vorfrageweise Prüfung nun ergeben, dass der von den UVG-Versicherern in der NBU-Versicherung auf 1. Januar 1995 in Kraft gesetzte Vierklassen-Prämientarif, insoweit er die Grundlage für die Einreihung der Beschwerdeführerin darstellt, dem Gebot der Risikogerechtigkeit Rechnung trägt und nicht gegen das verfassungsmässige Gebot der Gleichbehandlung verstösst. Insbesondere die dem Tarif zugrunde liegende Korrelation zwischen den Berufsunfallkosten einer Branche einerseits und den Nichtberufsunfallkosten andererseits, welche die Beschwerdeführerin in Zweifel zieht, ist, wie oben dargelegt (E. 7), statistisch erhärtet. Somit trägt der Tarif dem Gebot der Risikogerechtigkeit durchaus Rechnung und die Beschwerde erweist sich als unbegründet. 8</w:t>
      </w:r>
    </w:p>
    <w:p>
      <w:r>
        <w:t>Schweizerisches Bundesarchiv, Digitale Amtsdruckschriften Archives fédérales suisses, Publications officielles numérisées Archivio federale svizzero, Pubblicazioni ufficiali digitali JAAC 61.23A_II - Auszug aus dem Urteil der Eidgenössischen Rekurskommission für die Unfallversicherung vom 28. Juni 1996 i. S. X AG gegen die Versicherung Y, 37/94 In Verwaltungspraxis der Bundesbehörden Dans Jurisprudence des autorités administratives de la Confédération In Giurisprudenza delle autorità amministrative della Confederazione Jahr 1997 Année Anno Band 61 Volume Volume Seite --- Page Pagina Ref. No 150 003 410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