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61.20 vom 4. Januar 1996</w:t>
      </w:r>
    </w:p>
    <w:p>
      <w:r>
        <w:t>Bundesverwaltung, 1996-01-04, DE</w:t>
      </w:r>
    </w:p>
    <w:p>
      <w:r>
        <w:rPr>
          <w:b/>
        </w:rPr>
        <w:t xml:space="preserve">Quelle: </w:t>
      </w:r>
      <w:r>
        <w:t>https://mcp.opencaselaw.ch/entscheid/ch_vb_JAAC_61.20__</w:t>
      </w:r>
    </w:p>
    <w:p>
      <w:r>
        <w:t>FR: CH_VB JAAC 61.20 du 4 janvier 1996</w:t>
      </w:r>
    </w:p>
    <w:p>
      <w:r>
        <w:t>IT: CH_VB JAAC 61.20 del 4 gennaio 1996</w:t>
      </w:r>
    </w:p>
    <w:p>
      <w:pPr>
        <w:pStyle w:val="Heading2"/>
      </w:pPr>
      <w:r>
        <w:t>Erwägungen</w:t>
      </w:r>
    </w:p>
    <w:p>
      <w:r>
        <w:rPr>
          <w:b/>
        </w:rPr>
        <w:t>E. 1</w:t>
      </w:r>
    </w:p>
    <w:p>
      <w:r>
        <w:t>Die Eröffnung muss es dem Empfänger ermöglichen, vom Entscheid Kenntnis zu nehmen und die entsprechenden Rechtsmittel zu ergreifen. Die objektive Mangelhaftigkeit einer Eröffnung wird geheilt, wenn sie trotzdem ihren Zweck erfüllt hat (E. 4). Die Möglichkeit, eine kurze Nachfrist zur Verbesserung der Beschwerde anzusetzen (Art. 52 Abs. 2 VwVG), besteht grundsätzlich auch im Einspracheverfahren betreffend Verrechnungssteuer und Stempelabgabe. Die Nachfrist wird aber nur gewährt, wenn die Einsprache wenigstens minimalen Anforderungen zu genügen vermag (E. 5.a). Die Einsprache hat grundsätzlich einen bestimmten Antrag zu enthalten und die zu seiner Begründung dienenden Tatsachen anzugeben. Eine kurze Begründung genügt, sofern aus ihr hervorgeht, in welchen Punkten und aus welchen Gründen der Entscheid angefochten wird. In bezug auf die Begehren wird nicht verlangt, dass diese ausdrücklich aufgeführt werden, doch müssen sie aus der Begründung klar hervorgehen (E. 5.b). Beurteilung des vorliegenden Falls (E. 5.c). Ammissibilità di un’opposizione in materia d’imposta preventiva e tasse di bollo. I motivi di ricorso devono riferirsi all’oggetto della contestazione (consid. 3). La notificazione deve permettere al destinatario di prendere atto della decisione e di avvalersi dei rimedi giuridici. La notificazione oggettivamente difettosa è sanata qualora abbia adempiuto al suo scopo (consid. 4). La possibilità di assegnare al ricorrente un breve termine suppletorio per rimediare al ricorso (art. 52 cpv. 2 PA) è, per principio, applicabile anche alla procedura d’opposizione in materia d’imposta preventiva e tasse di bollo. Il termine suppletorio è tuttavia garantito soltanto se l’opposizione soddisfi i requisiti minimi (consid. 5.a). L’opposizione deve contenere, per principio, conclusioni precise e indicare i fatti che le motivano. Una breve motivazione è sufficiente sempreché riveli in quali punti e per quali motivi la decisione è impugnata. Quanto alle conclusioni, se anche non siano formulate esplicitamente, devono tuttavia risultare in modo chiaro dalla motivazione (consid. 5.b). Esame della fattispecie (consid. 5.c). Résumé des faits: A. La société A. SA a été constituée selon statuts du (...). Elle avait pour but la production et le financement de films, principalement de films pour la télévision et à buts commerciaux. Par la suite, la société élargit son but qui</w:t>
      </w:r>
    </w:p>
    <w:p>
      <w:r>
        <w:rPr>
          <w:b/>
        </w:rPr>
        <w:t>E. 2</w:t>
      </w:r>
    </w:p>
    <w:p>
      <w:r>
        <w:t>devint: conseils, conseils en publicité, organisations et planning de toutes sortes, en plus du financement de films de télévision et d’autres films. La démission de l’administrateur unique depuis la fondation de la société, Z, fut publiée dans la Feuille officielle du commerce (FOSC) du (...); S. fut nommé nouvel administrateur unique. B. Au mois d’octobre 1993, l’Administration fédérale des contributions (AFC) effectua un contrôle des comptes de A. SA, en présence de l’administrateur, dans les bureaux de la société X SA à N., adresse à laquelle elle enverra par la suite sa correspondance. Sur la base des informations en sa possession, l’AFC considéra que les actions de A. SA avaient fait l’objet d’un transfert de la majorité des droits de participation au début de l’année 1991. De ce fait, elle adressa à la société concernée, en date du 4 janvier 1994, une taxation pour l’impôt anticipé relatif à un excédent de liquidation et au droit de timbre d’émission. Par courrier du 24 janvier 1994, A. SA, par son administrateur, s’opposa aux prétentions de l’AFC. En date du 24 mai 1994, l’AFC confirma sa taxation du 4 janvier 1994 en se basant sur les éléments découverts durant son enquête. Elle demanda en outre que A. SA lui transmette le contrat de vente des actions. L’intéressée lui répondit en date du 2 juin 1994 qu’elle n’avait pas d’éléments nouveaux à lui communiquer. C. Le (...) 1994 parut dans la FOSC la démission de S. du conseil d’administration de A. SA. D. Le 14 novembre 1994, l’AFC prononça à l’encontre de A. SA une décision par laquelle elle lui réclamait le montant de (...), soit (...) dus à titre d’impôt anticipé et (...) à titre de droit de timbre d’émission. Cette décision, envoyée à l’adresse de la société X SA, fut retournée à l’AFC. En date du 6 décembre 1994, l’AFC notifia une nouvelle décision à A. SA, à la même adresse que précédemment. Elle envoya également une copie pour information - datée du</w:t>
      </w:r>
    </w:p>
    <w:p>
      <w:r>
        <w:rPr>
          <w:b/>
        </w:rPr>
        <w:t>E. 7</w:t>
      </w:r>
    </w:p>
    <w:p>
      <w:r>
        <w:t>que l’AFC aurait dû admettre que l’auteur de la réclamation était parfaitement déterminable et constater que le recourant agissait bien à titre personnel. Quoi qu’il en soit, il convient de souligner que cette relative confusion peut assurément provenir de la façon dont la décision a été notifiée aux parties intéressées. En effet, la décision originale a été adressée uniquement à la société elle-même; seule une «copie pour information» a été remise au recourant. N’étant pas juriste, il pouvait ignorer la portée réelle de cette communication à son égard. S’agissant du contenu de la réclamation et de son examen sous l’angle du consid. 5.b ci-dessus, il ressort de la lettre du 16 janvier 1995 - qui n’a nul besoin d’être désignée expressément sous le terme de «réclamation» - que le recourant, d’une part, conteste les faits tels qu’ils ont été retenus par l’AFC. Il souligne en particulier que l’autorité ne dispose d’aucun élément prouvant que les actions de la société ont changé de mains. D’autre part, il rejette l’interprétation des dispositions légales en cause telle qu’elle découle de la décision de l’AFC, en ajoutant que A. SA ne remplit manifestement pas les conditions. Dès lors, la motivation de la réclamation apparaît comme suffisante, dans la mesure où l’on peut en déduire sur quels points et pour quelles raisons la décision est attaquée. L’AFC ne le conteste du reste pas; dans sa lettre du 19 janvier 1995, elle n’a en effet pas demandé à l’intéressé de compléter sa réclamation sur ce point. Quant aux conclusions, il apparaît que la lettre du 16 janvier 1995 ne contient manifestement pas de conclusions expresses tendant notamment à l’annulation de la décision de l’AFC. Il convient toutefois, conformément à la jurisprudence rappelée ci-dessus, d’examiner si les conclusions ne peuvent être déduites, de manière implicite, de la motivation de l’acte. Il ressort de cette dernière que le recourant, en contestant la constatation des faits et l’application de la loi, s’oppose à la décision de l’AFC. Il soutient en outre que la société en question a été victime d’une taxation qui dépasse le cadre légal. On peut se demander si, déjà à ce stade, les conclusions implicites que l’on peut déduire de la motivation de la réclamation sont suffisantes et valables en tant que telles. Toutefois, la question n’a, en l’occurrence, pas besoin d’être résolue définitivement. En effet, il apparaît que le recourant, conformément à l’art. 52 al. 2 PA, a complété sa réclamation en date du 30 janvier 1995 et a précisé à cet égard que «les conclusions, faits et motifs du refus de taxation sont clairs et précis (...)». Contrairement à ce que prétend l’AFC, cette lettre doit être prise en compte, ne serait-ce que sous l’angle du principe de la bonne foi. En confirmant le refus de taxation, l’intéressé manifeste son opposition et indique clairement qu’il conteste la décision dans son ensemble. Par ce courrier, il répond à l’autorité fiscale, qui lui demandait, par sa lettre du 19 janvier 1995, d’indiquer si et à quels points de vue la décision était contestée. La Commission de céans estime dès lors que l’AFC, dans le cas d’espèce, a fait preuve d’une trop grande rigueur dans l’examen de la recevabilité de la réclamation et qu’elle a imposé au recourant, qui n’est pas juriste, des exigences trop strictes quant à la forme de l’acte, exigences qui n’étaient pas dictées par les circonstances. De plus, le comportement de l’AFC n’est pas exempt de tout reproche et a certainement contribué à une certaine confusion. En effet, comme cela a déjà été relevé précédemment, on peut se demander sérieusement si l’imprécision de la réponse présentée par le recourant ne provient pas aussi de la notification - problématique - de la décision. L’intéressé pouvait en effet, dans un premier temps, s’interroger sur son droit propre à déposer une réclamation, d’autant</w:t>
      </w:r>
    </w:p>
    <w:p>
      <w:r>
        <w:rPr>
          <w:b/>
        </w:rPr>
        <w:t>E. 8</w:t>
      </w:r>
    </w:p>
    <w:p>
      <w:r>
        <w:t>plus qu’il n’était pas indiqué si la «copie pour information» lui parvenait à titre personnel ou en tant qu’(ex-)administrateur de la société. Certes, il convient de veiller à ne pas soustraire les actes de procédure à toute exigence de forme. Toutefois, au vu des circonstances particulières évoquées précédemment, il s’impose de reconnaître que la réclamation formée par le recourant, bien qu’elle puisse présenter quelque lacune, satisfait aux exigences formelles minimales qui sont requises.</w:t>
      </w:r>
    </w:p>
    <w:p>
      <w:r>
        <w:rPr>
          <w:b/>
        </w:rPr>
        <w:t>E. 9</w:t>
      </w:r>
    </w:p>
    <w:p>
      <w:r>
        <w:t>Schweizerisches Bundesarchiv, Digitale Amtsdruckschriften Archives fédérales suisses, Publications officielles numérisées Archivio federale svizzero, Pubblicazioni ufficiali digitali JAAC 61.20 - Décision de la Commission fédérale de recours en matière de contributions du 4 janvier 1996 In Verwaltungspraxis der Bundesbehörden Dans Jurisprudence des autorités administratives de la Confédération In Giurisprudenza delle autorità amministrative della Confederazione Jahr 1997 Année Anno Band 61 Volume Volume Seite --- Page Pagina Ref. No 150 003 401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