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60.52 vom 31. März 1995</w:t>
      </w:r>
    </w:p>
    <w:p>
      <w:r>
        <w:t>Bundesverwaltung, 1995-03-31, DE</w:t>
      </w:r>
    </w:p>
    <w:p>
      <w:r>
        <w:rPr>
          <w:b/>
        </w:rPr>
        <w:t xml:space="preserve">Quelle: </w:t>
      </w:r>
      <w:r>
        <w:t>https://mcp.opencaselaw.ch/entscheid/ch_vb_JAAC_60.52__</w:t>
      </w:r>
    </w:p>
    <w:p>
      <w:r>
        <w:t>FR: CH_VB JAAC 60.52 du 31 mars 1995</w:t>
      </w:r>
    </w:p>
    <w:p>
      <w:r>
        <w:t>IT: CH_VB JAAC 60.52 del 31 marzo 1995</w:t>
      </w:r>
    </w:p>
    <w:p>
      <w:pPr>
        <w:pStyle w:val="Heading2"/>
      </w:pPr>
      <w:r>
        <w:t>Erwägungen</w:t>
      </w:r>
    </w:p>
    <w:p>
      <w:r>
        <w:rPr>
          <w:b/>
        </w:rPr>
        <w:t>E. 2</w:t>
      </w:r>
    </w:p>
    <w:p>
      <w:r>
        <w:t>(Gesetzliche Grundlagen)</w:t>
      </w:r>
    </w:p>
    <w:p>
      <w:r>
        <w:rPr>
          <w:b/>
        </w:rPr>
        <w:t>E. 3</w:t>
      </w:r>
    </w:p>
    <w:p>
      <w:r>
        <w:t>Gemäss Art. 19 VwVG in Verbindung mit Art. 40 des Bundesgesetzes vom</w:t>
      </w:r>
    </w:p>
    <w:p>
      <w:r>
        <w:rPr>
          <w:b/>
        </w:rPr>
        <w:t>E. 3.1</w:t>
      </w:r>
    </w:p>
    <w:p>
      <w:r>
        <w:t>Aufgrund der gesetzlichen Grundlagen ist das Gesuch des Bewirtschafters Ausgangspunkt des Verfahrens um Ausrichtung von ergänzenden Direktzahlungen. Darin sind die bereits näher umschriebenen betriebsrelevanten Angaben zu machen. In der vorliegenden Streitsache bildet die Erhebungskarte vom 21. April 1993 für die Eidgenössische Viehzählung und die Durchführung agrarpolitischer Massnahmen (Erhebungskarte) Grundlage der Gesuchseinreichung. (...)</w:t>
      </w:r>
    </w:p>
    <w:p>
      <w:r>
        <w:rPr>
          <w:b/>
        </w:rPr>
        <w:t>E. 3.2</w:t>
      </w:r>
    </w:p>
    <w:p>
      <w:r>
        <w:t>Grundsätzlich besteht im Verwaltungsverfahren eine Pflicht zur amtlichen Sachverhaltsfeststellung (Art. 12 des Bundesgesetzes vom 20. Dezember 1968 über das Verwaltungsverfahren [VwVG], SR 172.021), welche unter anderem in der Mitwirkungspflicht der Partei (Art. 13 Abs. 1 VwVG) ihre vernünftigen Grenzen hat. Dieser Untersuchungsgrundsatz mildert vornehmlich die Behauptungs- und Beweisführungslast der Parteien, ändert aber nichts an der materiellen Beweislast, welche der Partei auferliegt und wonach sie die Folgen der Beweislosigkeit eines Sachumstandes zu tragen hat (Fritz Gygi, Bundesverwaltungsrechtspflege, 2. Aufl., Bern 1983, S. 208 ff.; René A. Rhinow / Beat Krähenmann, Schweizerische Verwaltungsrechtsprechung, Ergänzungsband, Basel 1990, Nr. 88 I). Aufgrund der Tatsache, dass sich die Beweislosigkeit bei begünstigenden Verfügungen zum Nachteil einer Partei auswirkt, ist diese gezwungen, an der Beweisbeschaffung mitzuwirken (Alfred Kölz / Isabelle Häner, Verwaltungsverfahren und Verwaltungsrechtspflege des Bundes, Zürich 1993, Rz. 114, mit Verweis auf BGE 114 Ia 1 E. 8c sowie VPB 51.22). Das Beschwerdeverfahren hat zur Hauptsache den Beweis über die in den Rechtsschriften der Parteien vorgetragenen Beanstandungen an der vorinstanzlichen Sachverhaltsfeststellung zum Gegenstand (Gygi, a. a. O., S. 270). Als Beweismittel anerkennt das Verwaltungsverfahrensgesetz ausdrücklich Urkunden, Auskünfte von Parteien oder Drittpersonen, Augenschein sowie Gutachten von Sachverständigen (Art. 12 VwVG).</w:t>
      </w:r>
    </w:p>
    <w:p>
      <w:r>
        <w:rPr>
          <w:b/>
        </w:rPr>
        <w:t>E. 3.3</w:t>
      </w:r>
    </w:p>
    <w:p>
      <w:r>
        <w:t>In vorliegender Streitsache hat der Beschwerdeführer durch seine Ehefrau, welche die Erhebungskarte unterzeichnet und damit die Richtigkeit der darin enthaltenen Angaben bestätigt hat, ein Gesuch um Ausrichtung von ergänzenden Direktzahlungen eingereicht. Unerheblich ist dabei, ob der amtliche Viehinspektor (...), wie der Beschwerdeführer vorbringt, die Erhebungskarte ausgefüllt hat. Die Vorinstanz ist zu Recht davon ausgegangen, dass sich ein Betriebsleiter grundsätzlich das Handeln seiner im Betrieb mitwirkenden Ehefrau entgegenhalten lassen muss. Andernfalls könnte, wie das Bundesamt für Landwirtschaft (hiernach: Bundesamt) in seiner Stellungnahme treffend ausgeführt hat, das Gesuch mangels Unterschrift gar nicht entgegengenommen werden und eine allfällige Beitragsberechtigung wäre zum vornherein entfallen. Bezüglich der Verbindlichkeit der in der Erhebungskarte durch den Beschwerdeführer respektive dessen Ehefrau gemachten Angaben gilt es anzufügen, dass die Erhebungskarte ein amtliches Datenerhebungsblatt darstellt und die darin angeführten Angaben überdies von der zuständigen Gemeindebehörde oder dem beauftragten Erhebungsbeamten zu bestätigen sind. Gestützt auf die eingangs gemachten Ausführungen (Ziff. 3.2.) können demnach die diesbezüglichen Erwägungen der Vorinstanz vollumfänglich übernommen werden: «Die Tragweite der Angaben in der Erhebungskarte muss jedem Landwirt bekannt sein. Er trägt die primäre Verantwortung für deren Richtigkeit und muss die Eintragungen deshalb mit entsprechender Sorgfalt vornehmen beziehungsweise kontrollieren und sie gegebenenfalls umgehend richtigstellen. (...) Der Vollzug der agrarpolitischen Massnahmen ist mit vertretbarem Aufwand nur zu bewältigen, wenn sich die Behörden grundsätzlich auf die Angaben in der Erhebungskarte verlassen können. Nur wenn sich diese auf Grund klarer und eindeutiger Belege als unzutreffend erweisen, kann davon abgewichen werden. Es genügt somit nicht, dass ein Beschwerdeführer abweichende Zahlen bloss glaubhaft macht; vielmehr muss er einen überzeugenden Nachweis erbringen.» Im Einklang damit stehen auch, wie das Bundesamt anführt, die Art. 15 und 16 DZV, wonach im Falle von vorsätzlich oder fahrlässig falschen Angaben Verwaltungssanktionen angedroht werden.</w:t>
      </w:r>
    </w:p>
    <w:p>
      <w:r>
        <w:rPr>
          <w:b/>
        </w:rPr>
        <w:t>E. 4</w:t>
      </w:r>
    </w:p>
    <w:p>
      <w:r>
        <w:t>(...)</w:t>
      </w:r>
    </w:p>
    <w:p>
      <w:r>
        <w:rPr>
          <w:b/>
        </w:rPr>
        <w:t>E. 5</w:t>
      </w:r>
    </w:p>
    <w:p>
      <w:r>
        <w:t>Grundstückblätter zu beschaffen - dies um so mehr, weil er bereits Zweifel an der Richtigkeit der Daten auf dem Erhebungsblatt hatte. Die zuständige kantonale Behörde hat lediglich zu überprüfen, ob die gemachten Angaben zutreffen (Art. 12 Abs. 1 Bst. b DZV). Dabei ging die Behörde davon aus, dass die Angaben des Beschwerdeführers zutreffen würden. Wieweit die Kontrolltätigkeit der Behörde geht, kann im Detail offen bleiben. Diesbezüglich dürften jedoch nicht allzu hohe Anforderungen gestellt werden und die Behörde sollte sich grundsätzlich auf die Angaben der Bewirtschafter verlassen können und diese auf Übereinstimmung mit früheren Angaben überprüfen. Die Behörde hat dann einzugreifen, wenn begründeter Verdacht besteht, Angaben würden nicht zutreffen. Schlussendlich ist anzufügen, dass aufgrund der nachstehenden Erwägungen der Beschwerdeführer selbst bei Einbezug von ... Hektaren in die Berechnung der Hofdüngerbelastung aus den falschen Angaben nichts zu seinen Gunsten abzuleiten vermag, da die zulässige Hofdüngerbelastung überschritten wäre. Damit wird auch sein Einwand, er habe im Vertrauen auf diese Fläche den Tierbestand ausgerichtet und demnach Dispositionen getätigt, gegenstandslos. (Die Rekurskommission EVD weist die Beschwerde ab)</w:t>
      </w:r>
    </w:p>
    <w:p>
      <w:r>
        <w:rPr>
          <w:b/>
        </w:rPr>
        <w:t>E. 6</w:t>
      </w:r>
    </w:p>
    <w:p>
      <w:r>
        <w:t>Schweizerisches Bundesarchiv, Digitale Amtsdruckschriften Archives fédérales suisses, Publications officielles numérisées Archivio federale svizzero, Pubblicazioni ufficiali digitali JAAC 60.52 - Auszug aus dem Beschwerdeentscheid der Rekurskommission EVD vom 31. März 1995 in Sachen Z. gegen Landwirtschaftsamt des Kantons Bern und Volkswirtschaftsdirektion des Kantons Bern; 94/JG-003 In Verwaltungspraxis der Bundesbehörden Dans Jurisprudence des autorités administratives de la Confédération In Giurisprudenza delle autorità amministrative della Confederazione Jahr 1996 Année Anno Band 60 Volume Volume Seite --- Page Pagina Ref. No 150 003 107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