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60.38 vom 16. Mai 1995</w:t>
      </w:r>
    </w:p>
    <w:p>
      <w:r>
        <w:t>Bundesverwaltung, 1995-05-16, DE</w:t>
      </w:r>
    </w:p>
    <w:p>
      <w:r>
        <w:rPr>
          <w:b/>
        </w:rPr>
        <w:t xml:space="preserve">Quelle: </w:t>
      </w:r>
      <w:r>
        <w:t>https://mcp.opencaselaw.ch/entscheid/ch_vb_JAAC_60.38__</w:t>
      </w:r>
    </w:p>
    <w:p>
      <w:r>
        <w:t>FR: CH_VB JAAC 60.38 du 16 mai 1995</w:t>
      </w:r>
    </w:p>
    <w:p>
      <w:r>
        <w:t>IT: CH_VB JAAC 60.38 del 16 maggio 1995</w:t>
      </w:r>
    </w:p>
    <w:p>
      <w:pPr>
        <w:pStyle w:val="Heading2"/>
      </w:pPr>
      <w:r>
        <w:t>Erwägungen</w:t>
      </w:r>
    </w:p>
    <w:p>
      <w:r>
        <w:rPr>
          <w:b/>
        </w:rPr>
        <w:t>E. 1</w:t>
      </w:r>
    </w:p>
    <w:p>
      <w:r>
        <w:t>Les moyens invoqués tardivement au sens de l’art. 66 al. 3 PA ouvrent néanmoins la voie de la révision d’une décision entrée en force lorsqu’il résulte manifestement de ceux-ci que le requérant est menacé de persécutions ou de traitements contraires aux droits de l’homme, lesquels constituent un obstacle au renvoi relevant du droit international (consid. 7, en particulier 7.g).</w:t>
      </w:r>
    </w:p>
    <w:p>
      <w:r>
        <w:rPr>
          <w:b/>
        </w:rPr>
        <w:t>E. 2</w:t>
      </w:r>
    </w:p>
    <w:p>
      <w:r>
        <w:t>die angeführten Widersprüche in Zweifel zu ziehen, weshalb seine Sachverhaltsdarstellung in den entscheidenden Punkten als unglaubhaft zu bezeichnen sei. Mit einer als «Wiedererwägungsgesuch» bezeichneten Eingabe vom</w:t>
      </w:r>
    </w:p>
    <w:p>
      <w:r>
        <w:rPr>
          <w:b/>
        </w:rPr>
        <w:t>E. 7</w:t>
      </w:r>
    </w:p>
    <w:p>
      <w:r>
        <w:t>«Völkerrecht bricht Landesrecht», Die schweizerische Rechtsordnung in ihren internationalen Bezügen, Festgabe zum schweizerischen Juristentag 1988, Bern 1988, S. 45 ff.; derselbe, Kolumne: Schubert und der Rechtsstaat oder: Sind Bundesgesetze massgeblicher als Staatsverträge?, Schweizerische Jurististen-Zeitung [SJZ] 1993, S. 73 ff.; Seiler Hansjörg, Das völkerrechtswidrige Bundesgesetz; Art. 113 Abs. 3 BV im Verhältnis zu Völkerrecht, EG und EWR, SJZ 1992, S. 377 ff.; Gemeinsame Stellungnahme des Bundesamtes für Justiz und der Direktion für Völkerrecht vom 26. April 1989 [nachfolgend kurz: Stellungnahme BJ/EDA-DV], publiziert in VPB 53.54, S. 393 ff.; Wilhelm Christophe, Introduction et force obligatoire des traités internationaux dans l’ordre juridique suisse, Zürich 1993). In der herrschenden Lehre wird allgemein davon ausgegangen, dass das Völkerrecht Vorrang vor dem Landesrecht erheische (Stellungnahme BJ/EDA-DV, S. 411 f., mit weiteren Hinweisen). Auch diesem absoluten Primat des Völkerrechts kritisch gegenüberstehende Autoren lassen dem Völkerrecht zumindest theoretisch den Vorrang, wollen im Konfliktfall jedoch - abgesehen von gewissen Ausnahmen - die lex posterior-Regel (jüngeres Recht derogiert älteres Recht) anwenden lassen (Stellungnahme BJ/EDA-DV, S. 412, mit weiteren Hinweisen). Ferner anerkennt auch das Bundesgericht grundsätzlich den Vorrang des Völkerrechts vor nationalem Recht (vgl. Epiney, a. a. O., S. 544 f., mit Hinweis auf zahlreiche - vorwiegend ältere - bundesgerichtliche Entscheide; Kälin, Kolumne, S. 75, Fn. 16; Stellungnahme BJ/EDA-DV, S. 405 f.; Seiler, a. a. O., S. 378, Fn. 5; Wilhelm, a. a. O., S. 209 ff.), relativiert diesen Grundsatz allerdings unter der Voraussetzung, dass der Bundesgesetzgeber bewusst gegen seine völkerrechtlichen Verpflichtungen verstossen wollte, mit der Begründung, dass Art. 113 Abs. 3 BV dem Bundesgericht gebiete, Bundesgesetze anzuwenden (vgl. Epiney, a. a. O., S. 545, mit Hinweis auf BGE 99 Ib 39 [sog. «Schubert-Fall»] und weitere neuere Entscheide; Stellungnahme BJ/EDA-DV, S. 407 f.; Seiler, a. a. O., S. 378, Fn. 12 und 13). A. Epiney kritisiert - im Einklang mit einer Vielzahl weiterer Vertreter der Verwaltungsrechtslehre - diese bundesgerichtliche Einschränkung mit der Begründung, das Völkerrecht könne nicht mit innerstaatlichen Gesetzen verglichen werden, welche das Bundesgericht gemäss Art. 113 Abs. 3 BV in jedem Falle anzuwenden habe. Die Eigenart des Völkerrechts verlange vielmehr, dass ihm allgemein ein Anwendungsvorrang zukommen müsse, sofern der internationalen Verflechtung, dem gegenseitigen Charakter völkerrechtlicher Verpflichtungen und damit der durch das Rechtsstaatsprinzip geforderten Parallelität der Formen für die Schaffung und Aufhebung von Normen Rechnung getragen werden solle. Eine Bindung an die völkerrechtlichen Verfahren sei daher unumgänglich; die völkerrechtlichen Verpflichtungen der Schweiz dürften nicht durch innerstaatliche Mechanismen wieder in Frage gestellt werden, würde doch sonst dieser Aspekt des Rechtsstaatsprinzips aus den Angeln gehoben (Epiney, a. a. O., S. 557; vgl. auch Grisel, a. a. O., S. 391; Jacot-Guillarmod, Le juge national face au droit européen, S. 108 ff.; Kälin, Festgabe zum schweizerischen Juristentag 1988, S. 60 ff.; Saladin, a. a. O., S. 81 f.; Wilhelm, a. a. O., S. 214; mit Einschränkungen Häfliger, a. a. O., S. 480; anderer Meinung Hangartner, AJP 1993, S. 196 sowie AJP 1995, S. 140 f.; Seiler, a. a. O., S. 379 ff.). d. Im vorliegenden Fall erübrigt sich - wie nachfolgend aufgezeigt - eine eingehende Auseinandersetzung mit dieser grundsätzlichen Kontroverse. Zunächst stellt sich nämlich die Frage, ob eine Regel des Völkerrechts derjenigen des nationalen Rechts vorgehen soll, nur dann, wenn überhaupt</w:t>
      </w:r>
    </w:p>
    <w:p>
      <w:r>
        <w:rPr>
          <w:b/>
        </w:rPr>
        <w:t>E. 8</w:t>
      </w:r>
    </w:p>
    <w:p>
      <w:r>
        <w:t>ein echter Konfliktfall besteht, das heisst, wenn die beiden Normen sich gegenseitig ausschliessen, sich mithin im gleichen Anwendungsbereich widersprechen. Da grundsätzlich davon ausgegangen werden kann, dass sich der Bundesgesetzgeber an geltendes Völkerrecht halten will, ist in den meisten «Konflikt»-Fällen indessen eine Interpretation möglich, die einen offenen Widerspruch zwischen Völkerrecht und Landesrecht verhindert: Es ist sowohl in der Lehre, als auch in der bundesgerichtlichen Rechtsprechung unbestritten, dass nationales Recht völkerrechtskonform auszulegen ist (Epiney, a. a. O., S. 542; Stellungnahme BJ/EDA-DV, S. 419; Hangartner, AJP 1993, S. 195 f., Ziff. 3-5 sowie AJP 1995 S. 134 ff., Ziff. 2; Seiler, a. a. O., S. 378). Das Bundesgericht hat dazu im bereits zitierten «Schubert-Fall» festgehalten, dass «(...) im Zweifel innerstaatliches Recht völkerrechtskonform auszulegen (ist), das heisst so, dass ein Widerspruch mit dem Völkerrecht nicht entsteht. An dieser Regel, die es meist erlaubt, eigentliche Konflikte zwischen den beiden Rechtsordnungen zu vermeiden, ist (nachdem das Bundesgericht sie bereits in BGE 94 I 669 begründet hatte) festzuhalten. (...)» (BGE 99 Ib 43 f., Übersetzung aus dem Italienischen, zitiert bei Müller Jörg-Paul / Wildhaber Luzius, Praxis des Völkerrechts, 2. Aufl., Bern 1982, S. 109). Das Bundesgericht lässt eine Auslegung gegen den klaren Wortlaut einer Norm indessen im weiteren nur zu, wenn triftige Gründe dafür bestehen, dass er nicht den wahren Sinn der Bestimmung wiedergibt. Solche Gründe können sich aus der Entstehungsgeschichte, dem Sinn und Zweck der Vorschrift und aus dem Zusammenhang mit anderen Gesetzesbestimmungen ergeben (vgl. BGE 111 Ia 297, 113 Ia 444). Angesichts des klaren Wortlautes von Art. 66 Abs. 3 VwVG ist somit zu prüfen, ob derartige triftige Gründe bestehen. Gemäss Kälin liegt der Sinn und Zweck dieser Norm darin, die Rechtssicherheit zu schützen. Es sei aber ein allgemein anerkannter Grundsatz des Verwaltungsrechts, dass angesichts überwiegender anderer Interessen auf eine rechtskräftige Verfügung zurückgekommen werden könne, sodass eine teleologische Interpretation von Art. 66 Abs. 3 VwVG einer völkerrechtskonformen Auslegung nicht entgegenstehe (Kälin, Gutachten, S. 6, Bst. d in fine). Dieser Auffassung ist zuzustimmen: Wie bereits erwähnt, steht hinter der Regelung von Art. 66 Abs. 3 VwVG als Leitgedanke das Gebot der Rechtssicherheit; er soll sicherstellen, dass das Vertrauen und öffentliche Interesse an der Geltung eines einmal gefassten - und in Rechtskraft erwachsenen - Entscheides der Behörde gewahrt wird, und bewirken, dass ein Gesuchsteller diesen Entscheid nicht nach seinem Belieben immer wieder von neuem überprüfen lassen kann, mithin unter Umgehung der Rechtsmittelfristen. Damit steht die genannte Bestimmung schliesslich auch im Dienste eines ungestörten Ganges der Justiz. Auf der anderen Seite hat ein Betroffener und indirekt die Allgemeinheit natürlich auch ein Interesse daran, dass ein Verwaltungsakt, der mit dem Gesetz nicht oder nicht mehr vereinbar ist, abänderbar ist. Das Bundesgericht hält zur Frage der Widerruflichkeit von Verfügungen (bei welcher es um eine dem vorliegenden Fall analoge Problematik geht) fest, dass «(...) aufgrund einer Interessenabwägung im Einzelfall zu entscheiden (ist), ob das Interesse an der Rechtssicherheit beziehungsweise am Bestand der Verfügung das Interesse an der richtigen Durchsetzung des objektiven Rechts überwiegt (...)» (BGE 106 Ib 255 f.); bei Vorliegen überwiegender - privater oder öffentlicher - Interessen muss somit das Interesse am Bestand einer einmal gefällten Entscheidung weichen. Daraus ergibt sich, dass Sinn und Zweck von Art. 66 Abs. 3 VwVG nicht darin liegen können, verspätete Vorbringen in keinem</w:t>
      </w:r>
    </w:p>
    <w:p>
      <w:r>
        <w:rPr>
          <w:b/>
        </w:rPr>
        <w:t>E. 9</w:t>
      </w:r>
    </w:p>
    <w:p>
      <w:r>
        <w:t>Falle zu berücksichtigen; vielmehr muss auch er einer Auslegung zugänglich sein, welche es ermöglicht, die Rechtssicherheit überwiegende Interessen zu wahren. Als zweites Zwischenergebnis ist somit festzuhalten, dass Art. 66 Abs. 3 VwVG als landesrechtliche Norm völkerrechtskonform auszulegen ist, das heisst so, dass er die Durchsetzung der staatsvertraglichen Garantien von Art. 3 EMRK und Art. 33 FK nicht vereitelt. Dies bedeutet indessen nichts anderes, als dass ein Entscheid trotz an sich verspäteter Geltendmachung der Vorbringen in Revision gezogen werden muss, wenn durch den Vollzug des ursprünglichen Entscheides das Gebot des Non-refoulement verletzt würde. e. An diesem Ergebnis würde sich im weiteren auch dann nichts ändern, wenn man annähme, dass zwischen der landesrechtlichen Norm und dem Völkerrecht ein echter Konfliktfall bestehe, sie sich also tatsächlich gegenseitig ausschlössen: Es besteht nämlich in der Lehre einhellig - also auch auf Seiten der Kritiker eines absoluten Primats des Völkerrechts - die Auffassung, dass das völkerrechtliche ius cogens (das heisst jenes zwingende Völkerrecht, das grundlegende Normen enthält, mithin als eigentlicher Kerngehalt des Völkerrechts bezeichnet werden und nur durch Völkerrecht, dem derselbe Charakter zukommt, abgelöst werden kann) dem innerstaatlichen Recht in jedem Fall vorgeht (Epiney, a. a. O., S. 543; Grisel, a. a. O., S. 391; Häfliger, a. a. O., S. 480; Hangartner, AJP 1993, S. 197, Ziff. 10, und - mit Blick auf die EMRK - S. 198, Ziff. 13 in fine sowie AJP 1995, S. 132 und 142; Saladin, a. a. O., S. 84 f.; Wilhelm, a. a. O., S. 283; implizit wohl auch Seiler, a. a. O., S. 382). Das Bundesgericht hat den zwingenden Charakter des Rückschiebungsverbotes von Art. 3 EMRK und die Geltung von Art. 33 FK als Völkergewohnheitsrecht explizit anerkannt (BGE 109 Ib 72; 111 Ib 70). Die gleiche Ansicht hat auch der Bundesrat in seiner Botschaft betreffend die Initiative «Für eine vernünftige Asylpolitik» vertreten; er beantragt der Bundesversammlung die Ungültigerklärung des Volksbegehrens, weil es gegen zwingendes Völkerrecht (Art. 3 EMRK und Art. 33 FK) verstosse (vgl. BBl 1994 III 1493 ff., mit ausführlichen Hinweisen zum zwingenden Charakter der erwähnten Rechtsnormen). Daraus ergibt sich, dass Art. 66 Abs. 3 VwVG auch im Falle eines echten Konfliktes den völkerrechtlichen Bestimmungen von Art. 3 EMRK und Art. 33 FK zu weichen hätte. f. In Anbetracht der obenstehenden Erwägungen ergibt sich zusammenfassend, dass Art. 66 Abs. 3 VwVG so angewandt werden muss, dass es zu keiner Verletzung des Gebotes des Non-refoulement, wie es die Art. 3 EMRK und 33 FK statuieren, kommt. Die bisherige Rechtsprechung der ARK, welche Art. 66 Abs. 3 VwVG ausnahmslos angewandt hat, kann daher in diesem absoluten Sinne nicht aufrecht erhalten werden; sie ist vielmehr im nachfolgend dargelegten Sinne zu modifizieren. g. Zunächst ist festzuhalten, dass die völkerrechtskonforme Auslegung von Art. 66 Abs. 3 VwVG nicht zur Folge hat, dass die schweizerischen Asylbehörden in jedem Fall verpflichtet wären, von sich aus vor dem effektiven Vollzug einer Wegweisung (erneut) zu prüfen, ob allenfalls das Gebot des Non-refoulement verletzt würde, nachdem der Wegzuweisende bereits ein ordentliches Asylverfahren durchlaufen hat; insoweit hat der Grundsatz der Rechtssicherheit durchaus Vorrang. Eine völkerrechtskonforme Auslegung gegen den Wortlaut von Art. 66 Abs. 3 VwVG setzt vielmehr voraus,</w:t>
      </w:r>
    </w:p>
    <w:p>
      <w:r>
        <w:rPr>
          <w:b/>
        </w:rPr>
        <w:t>E. 10</w:t>
      </w:r>
    </w:p>
    <w:p>
      <w:r>
        <w:t>dass das Völkerrecht bei strikter Anwendung des Landesrechts tatsächlich tangiert würde. Es genügt daher nicht, dass ein Revisionsführer eine drohende Verletzung von Art. 33 FK respektive Art. 3 EMRK lediglich behauptet: Er muss die beachtliche Wahrscheinlichkeit einer aktuellen, ernsthaften Gefahr vielmehr schlüssig nachweisen, wobei allerdings der herabgesetzte Beweismassstab des Glaubhaftmachens genügt (vgl. BGE 111 Ib 71 mit Hinweisen; Entscheide der Europäischen Kommission für Menschenrechte Nr. 14514/89, 14982/89 und 1840/93; Urteile EGMR Serie A Vol. 161 [= EuGRZ 1989, S. 314], 201 [= EuGRZ 1991, S. 203], 215 [= Human Rights Law Journal 1991, S. 432]; Villiger, a. a. O., S. 185, Rn. 304; Kälin, Grundriss, S. 245 ff.; EMARK 1993 Nr. 23, S. 155, E. 9.b; Nr. 26, S. 184 f.; 1994 Nr. 3, S. 27 f., E. 5.b). Ein Abweichen vom Wortlaut von Art. 66 Abs. 3 VwVG rechtfertigt sich mit andern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Wegweisungsvollzuges - geführt hätten. Die Revisionsinstanz hat also in einem ersten Schritt zu prüfen, ob die vorgebrachten Tatsachen und eingereichten Beweismittel neu im Sinne der revisionsrechtlichen Bestimmungen (Art. 66 Abs. 2 Bst. a bzw. Abs. 3 VwVG) sind. Trifft dies zu, so genügt im weiteren als Grundlage für die Gutheissung des Revisionsgesuches die Erfüllung der von der bisherigen Rechtsprechung entwickelten Voraussetzungen an die Erheblichkeit der Vorbringen, das heisst, sie müssen lediglich geeignet sein, zu einem anderen Ergebnis als im ordentlichen Verfahren zu führen (vgl. E. 5 hiervor). Erweisen sich die Vorbringen indessen als verspätet im Sinne von Art. 66 Abs. 3 VwVG, so muss bereits im Rahmen der Prüfung des Vorliegens der geltend gemachten Revisionsgründe eine vorweggenommene materielle Beurteilung ergeben, dass die genannten völkerrechtlichen Wegweisungsschranken tatsächlich bestehen. h. Im weiteren ergibt sich aus dem Umstand, dass das Völkerrecht einem Flüchtling kein Recht auf Asyl garantiert, sondern den Staaten lediglich ein Rückschiebungsverbot auferlegt (vgl. Kälin, Grundriss, S. 3 ff., Ziff. 1.c und d), dass einem Revisionsführer, dessen Vorbringen nach nationalem Prozessrecht als verspätet eingereicht zu qualifizieren sind, auch bei Gutheissung des Revisionsgesuches nicht Asyl gewährt werden kann. Die völkerrechtskonforme Auslegung von Art. 66 Abs. 3 VwVG hat somit lediglich Auswirkungen auf die Fragen der Flüchtlingseigenschaft (Art. 33 Abs. 1 FK) und der Zulässigkeit des Wegweisungsvollzuges gemäss Art. 14a Abs. 3 des BG vom 26. März 1931 über Aufenthalt und Niederlassung der Ausländer (ANAG, SR 142.20) (vgl. auch Kälin, Gutachten, S. 4, Ziff. 2.b in fine). i. Nachdem aufgrund der obenstehenden Erwägungen feststeht, dass bereits aus völkerrechtlicher Sicht die uneingeschränkte Anwendung von Art. 66 Abs. 3 VwVG nicht statthaft ist, erübrigt es sich, näher auf die vom Gesuchsteller unter Berufung auf die bundesgerichtliche Praxis zu den sogenannten unverzichtbaren und unverjährbaren Grundrechten vorgebrachte These, wonach die drohende Verletzung von Art. 3 EMRK (als</w:t>
      </w:r>
    </w:p>
    <w:p>
      <w:r>
        <w:rPr>
          <w:b/>
        </w:rPr>
        <w:t>E. 11</w:t>
      </w:r>
    </w:p>
    <w:p>
      <w:r>
        <w:t>Teilgehalt des ungeschriebenen Grundrechtes der persönlichen Freiheit) jederzeit, das heisst selbst noch im Vollzugsstadium, angerufen werden könne, einzugehen. 8.a. Angesichts des Umstandes, dass die vom Gesuchsteller ins Recht gelegten Beweismittel nahezu ausschliesslich als verspätet im Sinne von Art. 66 Abs. 3 VwVG eingereicht zu qualifizieren sind (vgl. dazu E. 6 hiervor), ist im folgenden anhand einer vorweggenommenen materiellen Beurteilung zu prüfen, ob die von ihm geltend gemachten völkerrechtlichen Wegweisungsschranken tatsächlich bestehen (vgl. E. 7.g hiervor). b. Der Gesuchsteller bringt in seiner Revisionseingabe vom 7. September 1994 vor, er habe sich von der Schweiz aus als journalistischer Mitarbeiter der in der Türkei erscheinenden Zeitung der TKEP, der «Toplumsal Dayanisma» (Soziale Solidarität), sowie der prokurdischen Zeitungen «Özgür Gündem» (Freie Tagesordnung) und «Özgür Ülke» (Freies Land), betätigt. Dabei habe er mit seiner Kritik am türkischen Regime nie zurückgehalten. Zudem habe er - jeweils an vorderster Front - an verschiedenen Demonstrationen der türkischen Linken in Schweizer Städten teilgenommen. Insbesondere aufgrund seiner journalistischen Tätigkeit, in deren Rahmen etliche Artikel unter seinem richtigen Vor- und Familiennamen und mit dem Zusatz «Isviçre» (Schweiz) an prominenter Stelle in den erwähnten Zeitungen abgedruckt worden seien, befürchte er für den Fall seiner Rückkehr in die Türkei massive staatliche Verfolgungsmassnahmen. c. Flüchtling im Sinne von Art. 3 AsylG ist nicht nur, wer aktuell verfolgt wird, sondern auch, wer erst künftige Verfolgung befürchten muss. Im letzteren Fall muss allerdings begründeter Anlass zur Annahme bestehen, die Verfolgung werde sich mit beachtlicher Wahrscheinlichkeit und in absehbarer Zukunft verwirklichen. Es müssen konkrete Indizien und tatsächliche Anhaltspunkte dargelegt werden, welche die Furcht vor einer real drohenden Verfolgung nachvollziehbar erscheinen lassen. Eine begründete Furcht vor künftiger Verfolgung ist mithin zu bejahen, wenn jemand aufgrund konkreter Indizien mit guten Gründen, das heisst objektiv nachvollziehbar, befürchten muss, dass ihm mit erheblicher Wahrscheinlichkeit Verfolgung drohe, und ihm deshalb ein weiterer Verbleib im - beziehungsweise eine Rückkehr in den - Heimatstaat nicht zugemutet werden kann (EMARK 1994 Nr. 5, E. 3.h). Eine Person, welche sich auf subjektive Nachfluchtgründe beruft, hat objektiv begründeten Anlass zur Furcht vor künftiger Verfolgung, wenn ihre asylrechtlich relevante Bestrafung bereits feststeht (Verurteilung in absentia) oder der Verfolgerstaat mit erheblicher Wahrscheinlichkeit von den Aktivitäten im Ausland erfahren hat und die Person deshalb bei einer Rückkehr in asylrechtlich relevanter Weise verfolgen würde (vgl. dazu Kälin, Grundriss, S. 135). Im vorliegenden Fall stellt sich somit die Frage, ob die Behörden des Heimatstaates des Gesuchstellers mit erheblicher Wahrscheinlichkeit von dessen exilpolitischen Tätigkeiten Kenntnis genommen haben und - falls dies zu bejahen ist - ob der Gesuchsteller deswegen asylrechtlich relevante Verfolgungsmassnahmen zu befürchten hat. Betreffend die geltend gemachte journalistische Tätigkeit des Gesuchstellers ist zunächst festzuhalten, dass zumindest zwei von ihm verfasste Artikel erwiesenermassen in den Ausgaben der Zeitung «Toplumsal Dayanisma» vom 15. Februar 1994 beziehungsweise vom 20. März 1994 erschienen sind. Beide Artikel sind,</w:t>
      </w:r>
    </w:p>
    <w:p>
      <w:r>
        <w:rPr>
          <w:b/>
        </w:rPr>
        <w:t>E. 12</w:t>
      </w:r>
    </w:p>
    <w:p>
      <w:r>
        <w:t>wie vom Gesuchsteller zu Recht vorgebracht, an prominenter Stelle jeweils auf Seite 2 der Zeitungsausgaben abgedruckt und tragen seinen vollen Namen sowie den Zusatz «Isviçre». Aufgrund dieser Umstände erscheint es unzweifelhaft, dass den türkischen Behörden für den Fall, dass sie die Zeitung einer Prüfung unterzogen, die Identität des Gesuchstellers bekannt werden musste. Aus den nachfolgenden Überlegungen ergibt sich im weiteren, dass eine systematische Auswertung der Zeitung «Toplumsal Dayanisma» durch die türkischen Behörden als äusserst wahrscheinlich betrachtet werden muss: «Toplumsal Dayanisma» ist in der Türkei bereits seit längerer Zeit als regimekritische und prokurdische Zeitung bekannt, was in der Vergangenheit verschiedentlich zu Beschlagnahmungen von Ausgaben und zu Verhaftungen von Journalisten und Redaktoren geführt hat. So wurden beispielsweise im Jahre 1993 Ahmet Akkay und Kenan Kalyon [general publishing editor der Zeitung] verhaftet, der ersterwähnte gestützt auf Art. 8 des Antiterrorgesetzes wegen eines von ihm verfassten und in der «Toplumsal Dayanisma» publizierten Textes (vgl. Bulletin des türkischen Menschenrechtsvereines [nachfolgend TIHV-Bulletin], 5/1993 und 6/1993). Kenan Kalyon befand sich auch im Januar 1994 noch in Gefangenschaft (vgl. Turkish Daily News vom 25. Januar 1994). 1994 wurden im weiteren Ese Yilmaz [chief editor der Zeitung] und Teslim Töre [Generalsekretär der TKEP] vom Staatssicherheitsgericht Istanbul zu Gefängnisstrafen von je einem Jahr und acht Monaten verurteilt, letzterer wiederum gestützt auf Art. 8 des Antiterrorgesetzes, nachdem er einen Text in der «Toplumsal Dayanisma» hatte publizieren lassen (vgl. THIV-Bulletin, 1/1994 und 6/1994). Ferner wurden im selben Zeitraum mindestens drei Ausgaben der Zeitung beschlagnahmt (vgl. TIHV-Bulletin, 4/1993, 5/1993 und 6/1994). Diese Ereignisse lassen es als sehr wahrscheinlich erscheinen, dass die türkischen Behörden die Tätigkeit der «Toplumsal Dayanisma» eingehend überwachen und rigoros gegen deren Mitarbeiter und Mitarbeiterinnen vorgehen; aus diesem Grund ist auch anzunehmen, dass ihnen der Name des Gesuchstellers und die von ihm verfassten Zeitungsartikel bekannt geworden sind. Zudem sind die beiden Artikel zweifellos regimekritischen Inhalts. Unter dem Titel «Um für die geleistete Arbeit den gebührenden Lohn zu bekommen, ist die Vereinigung unausweichlich» (Übersetzung durch den Gesuchsteller eingereicht) äusserte sich der Gesuchsteller in seinem am 15. Februar 1994 publizierten Artikel zu den im damaligen Zeitpunkt bevorstehenden türkischen Kommunalwahlen vom 27. März 1994; er verurteilte dabei die Politik der herrschenden politischen Parteien, welche zu Unterdrückung, Grausamkeit und Ausbeutung geführt habe, und rief zur Unterstützung der demokratischen Partei (DEP) auf. Im zweiten Artikel, welcher am 20. März 1994 erschien und die Überschrift «Auch wir haben unsere Kommunalwahlen» trägt, beschrieb der Gesuchsteller einerseits die Situation der - unter anderem ausländischen - Minderheiten in der Schweiz, und prangerte andererseits erneut die soziale und menschenrechtliche Situation in der Türkei an. Indem der Gesuchsteller in seinen Artikeln die Zustände in der Türkei kritisierte und zur Unterstützung der DEP aufrief, machte er sich aus der Sicht des offiziellen türkischen Staates strafbar. Die türkischen Behörden sind - bis in die jüngste Vergangenheit - massiv gegen die DEP, welche im Juli 1993 als Nachfolgepartei der kurz zuvor vom Staat verbotenen prokurdischen HEP (Arbeitspartei des Volkes) gegründet worden war, vorgegangen. So hob das türkische Parlament am 2. März 1994 die Immunität der DEP-Abgeordneten</w:t>
      </w:r>
    </w:p>
    <w:p>
      <w:r>
        <w:rPr>
          <w:b/>
        </w:rPr>
        <w:t>E. 13</w:t>
      </w:r>
    </w:p>
    <w:p>
      <w:r>
        <w:t>Leyla Zana sowie fünf weiterer DEP-Abgeordneter auf (vgl. Neue Zürcher Zeitung [NZZ] vom 4. März 1994); gegen diese Personen wurde in der Folge ein Strafverfahren wegen Hochverrats (Art. 125 des türkischen Strafgesetzbuches) eröffnet. Ein Sondersicherheitsgericht [SSG] in Ankara verurteilte sie schliesslich nach Art. 128 des türkischen Strafgesetzbuches zu Haftstrafen zwischen drei, fünf und fünfzehn Jahren (NZZ vom 9. Dezember 1994). Der Oberstaatsanwalt am SSG Ankara fordert überdies im noch hängigen Berufungsverfahren eine Erhöhung des Strafmasses unter Einschluss der Todesstrafe wegen Hochverrats (NZZ vom 14. Dezember 1994). Das Verfahren gegen die DEP-Abgeordneten führte zu Protestnoten diverser europäischer Regierungen und Organisationen, unter anderem auch des Europarates (vgl. dazu und zur Situation der DEP auch Hochkommissär/Hochkommissariat der Vereinten Nationen für Flüchtlinge [UNHCR], background paper on turkish asylum seekers, Genf, September 1994). Nachdem gegen weitere Mitglieder der DEP im Vorfeld der Kommunalwahlen vom März 1994 massive Drohungen ausgesprochen worden waren, boykottierte die Partei die Wahlen. Im Juni 1994 wurde die DEP schliesslich vom türkischen Verfassungsgericht verboten (Frankfurter Allgemeine Zeitung [FAZ] vom 18. Juni 1994). Gemäss eines von H. Oberdiek für die Schweizerische Flüchtlingshilfe erstellten Gutachtens sind schliesslich Mitarbeiter und Mitarbeiterinnen prokurdischer Publikationen sowie Mitglieder und Funktionäre von kurdenfreundlichen Parteien wie HEP und DEP besonders von Verhaftungen, Verhören und Folter bedroht (vgl. Gutachten von H. Oberdiek vom 15. Oktober 1994, S. 38). d. Nach dem Gesagten ergibt sich somit, dass der Gesuchsteller den türkischen Behörden mit grösster Wahrscheinlichkeit als regimekritische Person bekannt ist und bei einer Rückkehr in seinen Heimatstaat mit asylrechtlich relevanter Verfolgung zu rechnen hätte. Seine Furcht vor künftiger Verfolgung erscheint als begründet; er erfüllt daher die Voraussetzungen an die Flüchtlingseigenschaft im Sinne von Art. 3 AsylG. Aus diesem Grund erübrigt es sich, näher auf die weiteren vom Gesuchsteller geltend gemachten Vorbringen und eingereichten Beweismittel (insbesondere betreffend seine journalistische Tätigkeit für die prokurdischen Zeitungen «Özgür Gündem» und «Özgür Ülke») einzugehen; ebenso kann vom beantragten Beizug der Asylverfahrensakten eines anerkannten Flüchtlings abgesehen werden. e. Als Flüchtling im Sinne von Art. 3 AsylG kann sich der Gesuchsteller auf die völkerrechtlichen Non-Refoulement-Gebote von Art. 33 FK und Art. 3 EMRK berufen. Diese Wegweisungshindernisse waren im weiteren bereits zum Zeitpunkt des Beschwerdeentscheides vom 24. Juni 1994 gegeben. Hätte der Gesuchsteller die nunmehr vorgebrachten exilpolitischen Tätigkeiten bereits im Beschwerdeverfahren geltend gemacht, so wäre die Beschwerde - soweit die Frage der Flüchtlingseigenschaft und die Zulässigkeit des Wegweisungsvollzuges betreffend - gutzuheissen gewesen. Damit sind die unter E. 7.g hiervor erwähnten Voraussetzungen für ein Abweichen vom Wortlaut des Art. 66 Abs. 3 VwVG gegeben. Das Revisionsgesuch ist somit gutzuheissen und der Beschwerdeentscheid vom 24. Juni 1994 ist bezüglich der soeben erwähnten Punkte (Flüchtlingseigenschaft; Zulässigkeit des Wegweisungsvollzuges) aufzuheben; ferner wird das Beschwerdeverfahren wieder aufgenommen. Nachdem die obenstehende vorweggenommene materielle Prüfung das Vorliegen der völkerrechtlichen Wegweisungsschranken ergeben hat, erübrigen sich weitere Abklärungen;</w:t>
      </w:r>
    </w:p>
    <w:p>
      <w:r>
        <w:rPr>
          <w:b/>
        </w:rPr>
        <w:t>E. 14</w:t>
      </w:r>
    </w:p>
    <w:p>
      <w:r>
        <w:t>insbesondere kann von einer Überweisung der Akten an das BFF zur Vernehmlassung abgesehen werden. Die Beschwerde wird bezüglich der Frage der Flüchtlingseigenschaft und der Zulässigkeit des Wegweisungsvollzuges gutgeheissen und das BFF wird angewiesen, den Aufenthalt des Gesuchstellers in der Schweiz nach den Bestimmungen über die vorläufige Aufnahme zu regeln. 9. Bei diesem Ausgang des Verfahrens sind dem Gesuchsteller trotz seines vollständigen Obsiegens im Revisionsverfahren die gesamten Verfahrenskosten von Fr. 1200.- aufzuerlegen, weil er durch seine zwar nicht grobe, aber jedenfalls fahrlässige Verletzung seiner Mitwirkungspflicht das vorliegende Verfahren verursacht hat (vgl. Art. 68 Abs. 2 i. V. m. Art. 63 Abs. 3 VwVG). Aus demselben Grund ist ihm auch keine Parteientschädigung zu entrichten (vgl. Art. 68 Abs. 2 i.V.m. Art. 64 Abs. 5 VwVG i. V. m. Art. 8 Abs. 5 KostenV). Demgegenüber sind im Beschwerdeverfahren keine Kosten aufzuerlegen: Bezüglich der Kosten des Beschwerdeverfahrens ist festzuhalten, dass die Auferlegung der Kosten von Fr. 350.- an den Gesuchsteller im ursprünglichen Beschwerdeentscheid durch die Aufhebung dieses Urteiles wegfällt. Im wiederaufgenommenen Beschwerdeverfahren sind keine weiteren Kosten entstanden, da die Fragen der Flüchtlingseigenschaft und der Zulässigkeit des Wegweisungsvollzuges bereits im Revisionsstadium materiell geprüft wurden. Die im Revisionsverfahren auferlegten Kosten sind bis zur Höhe des einbezahlten Kostenvorschusses mit diesem zu verrechnen. [32] Vgl. oben Fussnote 1, S. 239. [33] Cf. ci-dessus note 2, p. 240. [34] Cfr. sopra nota 3, pag. 242.</w:t>
      </w:r>
    </w:p>
    <w:p>
      <w:r>
        <w:rPr>
          <w:b/>
        </w:rPr>
        <w:t>E. 15</w:t>
      </w:r>
    </w:p>
    <w:p>
      <w:r>
        <w:t>Schweizerisches Bundesarchiv, Digitale Amtsdruckschriften Archives fédérales suisses, Publications officielles numérisées Archivio federale svizzero, Pubblicazioni ufficiali digitali JAAC 60.38 - Auszug aus einem Entscheid der Schweizerischen Asylrekurskommission vom 16. Mai 1995 In Verwaltungspraxis der Bundesbehörden Dans Jurisprudence des autorités administratives de la Confédération In Giurisprudenza delle autorità amministrative della Confederazione Jahr 1996 Année Anno Band 60 Volume Volume Seite --- Page Pagina Ref. No 150 003 059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