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60.136 vom 11. November 1995</w:t>
      </w:r>
    </w:p>
    <w:p>
      <w:r>
        <w:t>Bundesverwaltung, 1995-11-11, DE</w:t>
      </w:r>
    </w:p>
    <w:p>
      <w:r>
        <w:rPr>
          <w:b/>
        </w:rPr>
        <w:t xml:space="preserve">Quelle: </w:t>
      </w:r>
      <w:r>
        <w:t>https://mcp.opencaselaw.ch/entscheid/ch_vb_JAAC_60.136__</w:t>
      </w:r>
    </w:p>
    <w:p>
      <w:r>
        <w:t>FR: CH_VB JAAC 60.136 du 11 novembre 1995</w:t>
      </w:r>
    </w:p>
    <w:p>
      <w:r>
        <w:t>IT: CH_VB JAAC 60.136 del 11 novembre 1995</w:t>
      </w:r>
    </w:p>
    <w:p>
      <w:pPr>
        <w:pStyle w:val="Heading2"/>
      </w:pPr>
      <w:r>
        <w:t>Erwägungen</w:t>
      </w:r>
    </w:p>
    <w:p>
      <w:r>
        <w:rPr>
          <w:b/>
        </w:rPr>
        <w:t>E. 1</w:t>
      </w:r>
    </w:p>
    <w:p>
      <w:r>
        <w:t>Das Niederlassungs- und Handelsabkommen vom 10. Juni 1929 Die Niederlassungsverträge basieren im Prinzip auf dem Grundsatz der Inländergleichbehandlung. Damit sichern sie nicht eine definierte Rechtsstellung, sondern verweisen auf eine andere, bereits bestehende Rechtsstellung und machen diese auf die im Vertrag bezeichneten Fälle anwendbar. Nach der heute vorherrschenden Auffassung geht älteres Staatsvertragsrecht grundsätzlich auch dem jüngeren Bundesgesetzesrecht vor (gemäss dem Grundsatz «Völkerrecht bricht Landesrecht»). Das bedeutet unter anderem, dass ein Land seine völkerrechtlichen Verpflichtungen nicht einfach durch den späteren Erlass von landesrechtlichen Bestimmungen umgehen kann. Diesem Prinzip folgend, würde eine textuelle Auslegung der Niederlassungsverträge, die keinen ausdrücklichen Vorbehalt zugunsten des internen Rechts der Vertragsstaaten vorsehen, ein Recht auf Niederlassung begründen. In Wirklichkeit «führten die Vertragsparteien nach dem ersten Weltkrieg (in konstanter Praxis und allseits gebilligter Abweichung vom Vertragstext, consuetudo derogatoria) fremdenpolizeiliche Beschränkungen der Niederlassung ein und gestehen seither eine Berufung auf die Niederlassungsverträge einzig noch den schon Niedergelassenen zu. Nur diese können sich auf die Bestimmungen der Niederlassungsverträge, die freie Niederlassung, die rechtsgleiche Behandlung mit Schweizern sowie (teilweise) die Handels- und Gewerbefreiheit berufen.»[34] Davon zu unterscheiden ist die Frage, ob eine Ungleichbehandlung zwischen Ausländern vor dem Völkerrecht standhält. Einige Niederlassungsverträge[35] Da aber die Gleichbehandlungsklauseln in bezug auf Zulassung und wirtschaftliche Betätigung der Ausländer ihre Bedeutung verloren haben, entfalten auch die Meistbegünstigungsklauseln auf diesem Gebiet keine über</w:t>
      </w:r>
    </w:p>
    <w:p>
      <w:r>
        <w:rPr>
          <w:b/>
        </w:rPr>
        <w:t>E. 2</w:t>
      </w:r>
    </w:p>
    <w:p>
      <w:r>
        <w:t>Das Investitionsförderungs- und -schutzabkommen vom 22. September 1992 Das Investitionsförderungs- und -schutzabkommen (ISA, nicht publiziert) verpflichtet die Vertragsparteien nicht, Investitionen von Investoren der anderen Vertragspartei ohne weiteres zuzulassen (Art. 3 Abs. 1). Investitionen werden von den Vertragsparteien «soweit wie möglich» gefördert und «in Übereinstimmung mit ihren Gesetzen und übrigen Rechtsvorschriften» zugelassen. Diese Bestimmung ist in allen Investitionsabkommen zu finden, welche die Schweiz in den letzten Jahren abgeschlossen hat. Sie will klarmachen, dass in bezug auf die Zulassung von Investitionen den Vertragsparteien nur eine «best endeavour»-Verpflichtung obliegt. Im übrigen wird in Art. 2 ISA der Anwendungsbereich des Abkommens definiert: das Abkommen ist auf Investitionen anwendbar, die schon «getätigt wurden». Mit anderen Worten: nur wenn eine Vertragspartei eine Investition eines Investors der anderen Vertragspartei zugelassen hat, ist sie verpflichtet, diese zu schützen, beziehungsweise sie nicht durch ungerechtfertigte oder diskriminierende Massnahmen zu behindern, und ihre gerechte und billige Behandlung sicherzustellen (Art. 4 und 5). Darunter ist auch ein Verbot widersprüchlicher Handlungen der Behörden zu verstehen, insbesondere wenn die getätigten Investitionen einen bedeutenden finanziellen Aufwand mit sich bringen. In bezug auf die Zulassung enthält Abs. 2 von Art. 3 zwei Präzisierungen: auf der einen Seite verpflichten sich die Vertragsparteien «technische», das heisst nicht den Personenverkehr betreffende Bewilligungen zu erteilen (zum Beispiel für die Durchführung von Lizenzverträgen); auf der anderen Seite erklären die Vertragsparteien ihren Willen, Bewilligungen hinsichtlich der Beschäftigung von Beratern und anderen qualifizierten Personen nach Möglichkeit zu erteilen. Diese zwei Präzisierungen haben eindeutig nicht dieselbe Tragweite: im ersten Fall handelt sich um eine Verpflichtung, nach Zulassung einer Investition «technische Bewilligungen» zu erteilen, was auch als eine Konkretisierung des Grundsatzes der billigen und gerechten Behandlung betrachtet werden könnte; im zweiten Fall geht es hingegen um eine sogenannte «best endeavour»-Klausel, welcher keine strikt verpflichtende Bindung zukommt. Diese Bestimmung kann deswegen ein Recht auf Erteilung einer Aufenthaltsbewilligung nicht begründen, folglich über die innerstaatliche Ausländerregelung keinen Vorrang haben.</w:t>
      </w:r>
    </w:p>
    <w:p>
      <w:r>
        <w:rPr>
          <w:b/>
        </w:rPr>
        <w:t>E. 3</w:t>
      </w:r>
    </w:p>
    <w:p>
      <w:r>
        <w:t>die entsprechende Strafrechtsrevision vom 2. März 1992[37] Obwohl das schweizerische Zulassungskriterium der Integrationsfähigkeit keine rassendiskriminierenden Ziele verfolgt, wurde der Beitritt zum Übereinkommen unter dem Vorbehalt der schweizerischen Zulassungspolitik zum Arbeitsmarkt vorgenommen. Der Bundesrat will mit diesem Vorbehalt vermeiden, dass sich gewisse Auswirkungen unserer Zulassungspolitik dem Vorwurf der Unvereinbarkeit mit dem Übereinkommen aussetzen könnten.</w:t>
      </w:r>
    </w:p>
    <w:p>
      <w:r>
        <w:rPr>
          <w:b/>
        </w:rPr>
        <w:t>E. 4</w:t>
      </w:r>
    </w:p>
    <w:p>
      <w:r>
        <w:t>(1953), Dänemark (1962), Frankreich (1946), Italien (1934), den Niederlanden (1935), Österreich (1950) und Spanien (Protokoll der Gemischten Kommission) abgeschlossen. [37] [20] hat der Bundesrat zu dieser Problematik Stellung genommen. Er ist zum Schluss gekommen, dass Art. 2 Abs. 2 des Übereinkommens, der die Vertragsstaaten verpflichtet, «mit allen geeigneten Mitteln unverzüglich eine Politik der Beseitigung der Rassendiskriminierung in jeder Form zu verfolgen» und «Handlungen oder Praktiken der Rassendiskriminierung gegenüber Personen, Personengruppen oder Einrichtungen zu unterlassen», diskriminierende Einwanderungsgesetze als mit dem Übereinkommen unvereinbar erklärt.[21] BBl 1992 III 296. [39] [22], grundsätzlich das souveräne Recht haben, über Einreise in ihr und Aufenthalt auf ihrem Territorium zu entscheiden.[23] «Il n’existe aucune norme de droit international imposant aux Etats l’octroi à un ressortissant étranger du droit d’entrer, de séjourner ou de s’établir sur leur territoire. Il s’agit au contraire d’un pouvoir souverain impliquant la liberté de réglementer les conditions d’entrée sur le territoire national, la durée du séjour et ses modalités»; Peter Mock, Mesures de police des étrangers et respect de la vie privée et familiale, Zeitschrift für Schweizerisches Recht, Neue Folge, Bd. 112, 1993, S. 95.</w:t>
      </w:r>
    </w:p>
    <w:p>
      <w:r>
        <w:rPr>
          <w:b/>
        </w:rPr>
        <w:t>E. 5</w:t>
      </w:r>
    </w:p>
    <w:p>
      <w:r>
        <w:t>Schweizerisches Bundesarchiv, Digitale Amtsdruckschriften Archives fédérales suisses, Publications officielles numérisées Archivio federale svizzero, Pubblicazioni ufficiali digitali JAAC 60.136 - Direktion für Völkerrecht, 11. November 1995; traduction française dans la Revue suisse de droit international et de droit européen 5/1996, Pratique suisse 1995, N° 4.3 In Verwaltungspraxis der Bundesbehörden Dans Jurisprudence des autorités administratives de la Confédération In Giurisprudenza delle autorità amministrative della Confederazione Jahr 1996 Année Anno Band 60 Volume Volume Seite --- Page Pagina Ref. No 150 002 969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