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60.134 vom 30. Juni 1995</w:t>
      </w:r>
    </w:p>
    <w:p>
      <w:r>
        <w:t>Bundesverwaltung, 1995-06-30, DE</w:t>
      </w:r>
    </w:p>
    <w:p>
      <w:r>
        <w:rPr>
          <w:b/>
        </w:rPr>
        <w:t xml:space="preserve">Quelle: </w:t>
      </w:r>
      <w:r>
        <w:t>https://mcp.opencaselaw.ch/entscheid/ch_vb_JAAC_60.134__</w:t>
      </w:r>
    </w:p>
    <w:p>
      <w:r>
        <w:t>FR: CH_VB JAAC 60.134 du 30 juin 1995</w:t>
      </w:r>
    </w:p>
    <w:p>
      <w:r>
        <w:t>IT: CH_VB JAAC 60.134 del 30 giugno 1995</w:t>
      </w:r>
    </w:p>
    <w:p>
      <w:pPr>
        <w:pStyle w:val="Heading2"/>
      </w:pPr>
      <w:r>
        <w:t>Erwägungen</w:t>
      </w:r>
    </w:p>
    <w:p>
      <w:r>
        <w:rPr>
          <w:b/>
        </w:rPr>
        <w:t>E. 1</w:t>
      </w:r>
    </w:p>
    <w:p>
      <w:r>
        <w:t>Weltkrieg sehr umfangreich und verästelt geworden. In der neueren Literatur wird sie häufig unter dem Leitprinzip «sufficient link» bzw. «genuine connection» diskutiert (Nottebohm-Fall, Recueil de la Cour internationale de justice [CIJ] 1955, S. 4; Ian Brownlie, Principles of Public International Law, 4. Aufl., Oxford 1990, S. 407 ff.). Unter diesem Stichwort werden die sachlich legitimen Kriterien der Anknüpfung verstanden, womit ein Staat seine Zuständigkeit begründen kann. Eine der völkerrechtlich umstrittenen Fragen beschlägt die sogenannte «Zwangseinbürgerung» (Brownlie, a. a. O., S. 405 f.; Donner, a. a. O., S. 160 ff.; Makarov, a. a. O., S. 70 ff.). Die einschlägige Praxis umfasst einerseits Fälle, bei denen die Anknüpfungspunkte für eine Naturalisierung objektiv besonders schwach sind (in Mexiko z. B. konnte bereits ein Liegenschaftserwerb genügen; vgl. Albrecht Randelzhofer, Encyclopedia of Public International Law, Bd. 8, Stuttgart 1985, S. 419 f.) - andererseits solche, wo der entgegenstehende Wille der Betroffenen besonders ausgeprägt scheint - und überdies politische Implikationen eine Rolle spielen (z. B. bei Staatennachfolgen, Annexionen udgl.; vgl. Hohenveldern, a. a. O., S. 269 f.). In der jüngeren Gerichtspraxis scheint der Wille der Betroffenen tendenziell stärker berücksichtigt zu werden (vgl. Donner, a. a. O., S. 161 ff. zur deutschen Rechtsprechung); gleiches gilt für die Doktrin (vgl. z. B. Alfred Verdross / Bruno Simma, Universelles Völkerrecht,</w:t>
      </w:r>
    </w:p>
    <w:p>
      <w:r>
        <w:rPr>
          <w:b/>
        </w:rPr>
        <w:t>E. 3</w:t>
      </w:r>
    </w:p>
    <w:p>
      <w:r>
        <w:t>Schweizerisches Bundesarchiv, Digitale Amtsdruckschriften Archives fédérales suisses, Publications officielles numérisées Archivio federale svizzero, Pubblicazioni ufficiali digitali JAAC 60.134 - Direktion für Völkerrecht, 30. Juni 1995; traduction française dans la Revue suisse de droit international et de droit européen 5/1996, Pratique suisse 1995, N° 4.1 In Verwaltungspraxis der Bundesbehörden Dans Jurisprudence des autorités administratives de la Confédération In Giurisprudenza delle autorità amministrative della Confederazione Jahr 1996 Année Anno Band 60 Volume Volume Seite --- Page Pagina Ref. No 150 002 963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