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59.9 vom 12. Januar 1994</w:t>
      </w:r>
    </w:p>
    <w:p>
      <w:r>
        <w:t>Bundesverwaltung, 1994-01-12, DE</w:t>
      </w:r>
    </w:p>
    <w:p>
      <w:r>
        <w:rPr>
          <w:b/>
        </w:rPr>
        <w:t xml:space="preserve">Quelle: </w:t>
      </w:r>
      <w:r>
        <w:t>https://mcp.opencaselaw.ch/entscheid/ch_vb_JAAC_59.9__</w:t>
      </w:r>
    </w:p>
    <w:p>
      <w:r>
        <w:t>FR: CH_VB JAAC 59.9 du 12 janvier 1994</w:t>
      </w:r>
    </w:p>
    <w:p>
      <w:r>
        <w:t>IT: CH_VB JAAC 59.9 del 12 gennaio 1994</w:t>
      </w:r>
    </w:p>
    <w:p>
      <w:pPr>
        <w:pStyle w:val="Heading2"/>
      </w:pPr>
      <w:r>
        <w:t>Erwägungen</w:t>
      </w:r>
    </w:p>
    <w:p>
      <w:r>
        <w:rPr>
          <w:b/>
        </w:rPr>
        <w:t>E. 1</w:t>
      </w:r>
    </w:p>
    <w:p>
      <w:r>
        <w:t>und 2. ...</w:t>
      </w:r>
    </w:p>
    <w:p>
      <w:r>
        <w:rPr>
          <w:b/>
        </w:rPr>
        <w:t>E. 3</w:t>
      </w:r>
    </w:p>
    <w:p>
      <w:r>
        <w:t>Weiter treffe es zwar zu, dass die Beschwerdeführerinnen nicht ausdrücklich das Fehlen eines Gutachtens gerügt hätten. Ein Anlass dazu habe auch nicht bestanden, seien sie doch aufgrund der Äusserungen am Augenschein vom 28. August 1991 davon ausgegangen, dass der Regierungsrat die Voraussetzungen für die Geschwindigkeitsbeschränkung an sich als erfüllt betrachte und die Beschränkung lediglich aufgrund weiterer Überlegungen - insbesondere solchen der Zweckmässigkeit - in Frage stelle. Sollten jedoch Zweifel an den Voraussetzungen bestehen, erachteten sie die Einholung eines diesbezüglichen Gutachtens als notwendig. c. Nach Art. 32 Abs. 4 SVG und Art. 108 Abs. 4 SSV darf eine Abweichung von der vom Bundesrat festgesetzten Höchstgeschwindigkeit nur aufgrund eines Gutachtens angeordnet werden. Von der in Art. 32 Abs. 4 SVG festgehaltenen Ermächtigung, Ausnahmen vorzusehen, hat der Bundesrat bisher keinen Gebrauch gemacht. Gestützt auf Art. 108 Abs. 6 SSV hat das Eidgenössische Justiz- und Polizeidepartement am 13. März 1990 Weisungen zur Festlegung abweichender Höchstgeschwindigkeiten erlassen. Nach diesen Weisungen soll das Gutachten - das durch verwaltungseigene oder externe Sachverständige erstellt werden kann - der Behörde die sachlichen Grundlagen für den Entscheid liefern. Inhalt und Umfang des Gutachtens hängen vom Zweck der Geschwindigkeitsbeschränkung und von der örtlichen Situation ab und sind deshalb von Fall zu Fall verschieden. Es müssen somit nicht immer umfangreiche Untersuchungen durchgeführt werden. Während solche beispielsweise bei Nationalstrassen oder verkehrsreichen Kantonsstrassen nötig sein mögen, kann bei wenig befahrenen Quartierstrassen unter Umständen eine Beschreibung der örtlichen Gegebenheiten genügen (VPB 55.31). Wesentlich erscheint, dass die für den Erlass von Verkehrsmassnahmen zuständige Behörde schliesslich über genügend Anhaltspunkte verfügt, um anhand der in Ziff. 7 der erwähnten Weisungen aufgeführten Kriterien entscheiden zu können, ob die Voraussetzungen zur Anordnung einer abweichenden Höchstgeschwindigkeit erfüllt sind. Nach der Praxis des Bundesrates muss die zuständige Behörde auf ein Gesuch um Erlass oder Aufhebung einer Verkehrsanordnung eintreten und die Sache materiell behandeln, sofern der Gesuchsteller ein schutzwürdiges Interesse daran hat (VPB 55.31). Mit den Abklärungen wird wie erwähnt geprüft, ob die Voraussetzungen für das Ergreifen einer Massnahme erfüllt sind. Sind die Voraussetzungen nicht erfüllt, so ist keine Massnahme zu treffen. Daraus folgt aber, dass auch ein allfälliger Verzicht auf eine Massnahme auf geeigneten Erhebungen beruht. Somit ist grundsätzlich in jedem Fall, das heisst unabhängig von einem positiven oder negativen Entscheid, ein solches Gutachten zu erstellen. Der Gemeinderat T. hat im vorliegenden Fall kein entsprechendes Gutachten erstellt. Das Fehlen dieser Unterlagen stellt unzweifelhaft einen Formmangel dar. Da jedoch der Regierungsrat des Kantons als obere Instanz mit einer umfassenden Kognitionsbefugnis ausgestattet ist und ihm aufgrund des beim Augenschein festgestellten Sachverhalts genügend Entscheidgrundlagen zur Verfügung standen, wurde dieser Verfahrensmangel im kantonalen Verfahren</w:t>
      </w:r>
    </w:p>
    <w:p>
      <w:r>
        <w:rPr>
          <w:b/>
        </w:rPr>
        <w:t>E. 4</w:t>
      </w:r>
    </w:p>
    <w:p>
      <w:r>
        <w:t>geheilt. Diese Sachverhaltsfeststellungen genügen als Grundlage auch für den vorliegenden Entscheid, weshalb auf eine Rückweisung der Sache an die Vorinstanz zur weiteren Abklärung verzichtet werden kann. d. Die Bergstrasse ist an beiden Enden mit einem «Allgemeinen Fahrverbot in beiden Richtungen» (Zubringerdienst gestattet) versehen. Beim Allgemeinen Fahrverbot in beiden Richtungen handelt es sich um ein Totalfahrverbot (vgl. Art. 18 Abs. 1 SSV). Es verbietet nicht nur den Verkehr mit Motorfahrzeugen, sondern auch mit Fahrrädern. Die Zusatztafel «Zubringerdienst gestattet» hebt dieses Verbot indessen weitgehend auf, indem praktisch nur mehr der eigentliche Durchgangsverkehr untersagt wird. Denn nach Art. 17 Abs. 1 SSV erlaubt der Zubringerdienst «Fahrten zum Abliefern oder Abholen von Waren bei Anwohnern oder auf anliegenden Grundstücken, Fahrten von Anwohnern und Personen, die Anwohner zu treffen oder auf anliegenden Grundstücken Arbeiten zu verrichten haben sowie die Beförderung solcher Personen durch Dritte.» Eine derart weitgehende Ausnahme nimmt dem Fahrverbot seinen umfassenden Charakter (VPB 51.51, E. 1.b). Die Kombination eines Fahrverbotes (Zubringerdienst gestattet) mit einer Geschwindigkeitsbeschränkung stellt entgegen der Ansicht der Vorinstanz keine widersprüchliche Signalisation dar. Weil die Strecke grundsätzlich von jedem Fahrzeuglenker, der als Anwohner oder im Rahmen des Zubringerdienstes berechtigt ist, befahren werden darf, ist eine Geschwindigkeitsbeschränkung durchaus denkbar, wenn die in Art. 108 Abs. 2 SSV aufgezählten Voraussetzungen erfüllt sind. Daran ändert nichts, dass auf der Bergstrasse - zumindest bei Durchsetzung des Fahrverbotes für Unberechtigte - offenbar ein vergleichsweise geringes Verkehrsaufkommen herrscht. Das Begehren der Gesuchstellerinnen ist jedoch aus anderen Gründen abzuweisen. Art. 32 Abs. 1 SVG hält fest, dass die Geschwindigkeit stets den Umständen, namentlich den Besonderheiten von Fahrzeug und Ladung, sowie den Strassen-, Verkehrs- und Sichtverhältnissen anzupassen ist. Nach Art. 108 Abs. 2 SSV können die allgemeinen Höchstgeschwindigkeiten unter anderem dann herabgesetzt werden, wenn eine Gefahr nur schwer oder nicht rechtzeitig erkennbar und anders nicht zu beheben ist (Bst. a) oder bestimmte Strassenbenützer eines besonderen, nicht anders zu erreichenden Schutzes bedürfen (Bst. b). Im vorliegenden Fall zweigt die Bergstrasse beim Dorfeingang T. von der Strasse ... ab, führt danach über einen unbewachten Bahnübergang und steigt auf einer Strecke von einigen hundert Metern bis ... an. Sie ist lediglich mit einem Naturbelag versehen, kurvenreich und verfügt über keine Trottoirs. Zum grössten Teil grenzen hohe Einfriedungen sowie Abhänge und Hecken direkt an die Strasse. Die Bergstrasse ist zudem so schmal, dass Fahrzeuge nicht kreuzen können. Aus dieser Beschreibung geht hervor, dass bereits die örtlichen Gegebenheiten, namentlich weil es sich um eine schmale Naturstrasse handelt, vernünftigerweise keine hohen Fahrgeschwindigkeiten zulassen. Dieser Umstand ist für die Fahrzeuglenker ohne weiteres ersichtlich. Jedenfalls verleitet das Erscheinungsbild der Strasse objektiverweise nicht zu einem (zu) schnellen Fahren, weshalb hier nicht von einer nur schwer oder nicht rechtzeitig erkennbaren Gefahr gesprochen werden kann. Eine besonders</w:t>
      </w:r>
    </w:p>
    <w:p>
      <w:r>
        <w:rPr>
          <w:b/>
        </w:rPr>
        <w:t>E. 5</w:t>
      </w:r>
    </w:p>
    <w:p>
      <w:r>
        <w:t>schwere Gefährdung der Fussgänger, die ein Abweichen von den allgemeinen Höchstgeschwindigkeiten rechtfertigen würde, ist daher ebenfalls nicht ersichtlich. Überdies halten die Beschwerdeführerinnen selber fest, dass die Belästigung der Anwohner durch Lärm- und Staubentwicklung gering ist, wenn die Strasse nur durch die Berechtigten und mit angepasster Geschwindigkeit befahren wird. Davon ist hier auszugehen. Auch die Abnützung der Fahrbahnoberfläche dürfte sich daher in einem normalen Rahmen halten. Schliesslich ist darauf hinzuweisen, dass eine Herabsetzung der Höchstgeschwindigkeit nicht geeignet ist, Fahrzeuglenker, die sich ohnehin über die geltende Vorschrift von Art. 32 Abs. 1 SVG hinwegsetzen, zu einer angepassten Fahrgeschwindigkeit anzuhalten.</w:t>
      </w:r>
    </w:p>
    <w:p>
      <w:r>
        <w:rPr>
          <w:b/>
        </w:rPr>
        <w:t>E. 6</w:t>
      </w:r>
    </w:p>
    <w:p>
      <w:r>
        <w:t>Schweizerisches Bundesarchiv, Digitale Amtsdruckschriften Archives fédérales suisses, Publications officielles numérisées Archivio federale svizzero, Pubblicazioni ufficiali digitali JAAC 59.9 - Entscheid des Bundesrates vom 12. Januar 1994 In Verwaltungspraxis der Bundesbehörden Dans Jurisprudence des autorités administratives de la Confédération In Giurisprudenza delle autorità amministrative della Confederazione Jahr 1995 Année Anno Band 59 Volume Volume Seite --- Page Pagina Ref. No 150 002 849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