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59.50 vom 22. Oktober 1993</w:t>
      </w:r>
    </w:p>
    <w:p>
      <w:r>
        <w:t>Bundesverwaltung, 1993-10-22, DE</w:t>
      </w:r>
    </w:p>
    <w:p>
      <w:r>
        <w:rPr>
          <w:b/>
        </w:rPr>
        <w:t xml:space="preserve">Quelle: </w:t>
      </w:r>
      <w:r>
        <w:t>https://mcp.opencaselaw.ch/entscheid/ch_vb_JAAC_59.50__</w:t>
      </w:r>
    </w:p>
    <w:p>
      <w:r>
        <w:t>FR: CH_VB JAAC 59.50 du 22 octobre 1993</w:t>
      </w:r>
    </w:p>
    <w:p>
      <w:r>
        <w:t>IT: CH_VB JAAC 59.50 del 22 ottobre 1993</w:t>
      </w:r>
    </w:p>
    <w:p>
      <w:pPr>
        <w:pStyle w:val="Heading2"/>
      </w:pPr>
      <w:r>
        <w:t>Erwägungen</w:t>
      </w:r>
    </w:p>
    <w:p>
      <w:r>
        <w:rPr>
          <w:b/>
        </w:rPr>
        <w:t>E. 1</w:t>
      </w:r>
    </w:p>
    <w:p>
      <w:r>
        <w:t>Demande de réexamen fondée essentiellement sur l’existence d’une décision des autorités tutélaires retirant le droit de garde aux parents d’un requérant d’asile mineur non accompagné et prise postérieurement à une décision de renvoi entrée en force. Absence de motivation de l’ODR sur ce point: guérison du vice en procédure de recours (consid. 4.a et b). Pas d’entrée en matière implicite de l’ODR sur la demande de réexamen (consid. 4.c).</w:t>
      </w:r>
    </w:p>
    <w:p>
      <w:r>
        <w:rPr>
          <w:b/>
        </w:rPr>
        <w:t>E. 2</w:t>
      </w:r>
    </w:p>
    <w:p>
      <w:r>
        <w:t>Les modifications législatives intervenues en matière d’asile ont octroyé aux autorités fédérales la compétence exclusive de décider du renvoi et de son exécution (consid. 5.a). La décision rendue par l’autorité tutélaire en matière de protection de l’enfant ne constitue pas en soi un motif de réexamen du renvoi (consid. 5.b).</w:t>
      </w:r>
    </w:p>
    <w:p>
      <w:r>
        <w:rPr>
          <w:b/>
        </w:rPr>
        <w:t>E. 3</w:t>
      </w:r>
    </w:p>
    <w:p>
      <w:r>
        <w:t>Les mesures relatives à la protection de l’enfant prises en application du droit civil n’ont pas pour motif ni pour but et effet de remédier aux conséquences liées à une décision de renvoi prise au terme d’une procédure d’asile en application du droit public fédéral (consid. 6).</w:t>
      </w:r>
    </w:p>
    <w:p>
      <w:r>
        <w:rPr>
          <w:b/>
        </w:rPr>
        <w:t>E. 4</w:t>
      </w:r>
    </w:p>
    <w:p>
      <w:r>
        <w:t>première vue, sans incidence sur la question de la recevabilité de la demande déposée par l’intéressé. Il y a donc absence de motivation sur l’argument central de la demande. L’ODR a, par contre, pris position sur un argument qui n’était à l’évidence pas de nature à ouvrir la voie du réexamen et à entraîner la prise d’une décision, à savoir les capacités intellectuelles du recourant. Cela étant, l’informalité commise peut être réparée dans le cadre de la procédure de recours, l’ODR ayant fourni un préavis motivé sur le moyen qu’il n’avait pas examiné, le recourant ayant pu fournir une réplique, et la commission de céans statuant avec le même pouvoir de cognition que l’instance inférieure; dans un tel cas, compte tenu du principe de l’économie de procédure, il ne se justifie pas de renvoyer le dossier à l’ODR, dans la mesure où cette manière de faire reviendrait à une vaine formalité et entraînerait ainsi des retards inutiles qui ne seraient pas compatibles avec l’intérêt du recourant à obtenir une décision aussi rapidement que possible (ATF 116 V 185 s.; 114 Ia 18; JAAC 57.5, consid. 2). c. Le recourant fait valoir en particulier dans sa réplique que l’ODR a pris position sur une question de fond admettant par-là même la recevabilité de la requête. Contrairement à ce que soutient le recourant, l’ODR, en écrivant dans sa réponse que les décisions d’une autorité civile cantonale n’interféraient en rien dans une décision administrative fédérale en matière d’asile, n’a pas admis implicitement que les conditions justifiant un examen au fond étaient réunies. Il a estimé que l’existence d’une telle décision ne s’imposait pas aux autorités fédérales statuant en matière d’asile et que, par suite, il n’y avait pas lieu d’en tenir compte, indiquant ainsi qu’il n’avait pas de raison d’annuler sa décision, alors qu’il avait la possibilité de le faire au lieu de rendre un préavis (cf. art. 12 de la Loi du 5 octobre 1979 sur l’asile [LA], SR 142.31 et 58 PA). Il convient donc d’examiner la dernière prise de position de l’ODR au regard des modifications successives de la LA sur les questions de compétence, d’une part, et au regard de la portée de la décision cantonale rendue en l’espèce, en matière de protection de l’enfant, d’autre part.</w:t>
      </w:r>
    </w:p>
    <w:p>
      <w:r>
        <w:rPr>
          <w:b/>
        </w:rPr>
        <w:t>E. 5</w:t>
      </w:r>
    </w:p>
    <w:p>
      <w:r>
        <w:t>police des étrangers (Message à l’appui d’un arrêté fédéral sur la procédure d’asile [APA] et d’une loi fédérale instituant un office fédéral pour les réfugiés, FF 1990 II 600 s. et 616). b. Tenant compte des diverses modifications législatives intervenues, le Délégué aux réfugiés a, par décision du 30 août 1990, rejeté la demande d’asile de H. K. Par même décision, il a prononcé son renvoi de Suisse, conséquence légale du rejet de la demande de protection, et en a ordonné l’exécution. Cette décision de renvoi et d’exécution a été confirmée sur recours le 2 mai 1991. Dans la dernière décision, le DFJP a en particulier relevé, après examen des pièces du dossier, que l’exécution du renvoi s’avérait licite, H. K. n’ayant pas rendu hautement vraisemblable qu’il serait menacé de peines ou de traitements inhumains au sens de l’art. 3 CEDH, possible, dans la mesure où celui-ci était en possession de documents de voyage, et raisonnablement exigible; il a également précisé que les parents d’H. K. de même que deux soeurs et deux frères vivaient toujours en Turquie (...). L’intéressé devait donc, au terme de la procédure d’asile qu’il avait engagée, quitter la Suisse et ne pouvait, en raison même de la compétence exclusive des autorités fédérales chargées de l’examen des procédures d’asile de statuer en matière de renvoi, faire valoir utilement devant une autre autorité qu’un renvoi en Turquie était de nature à compromettre sa sécurité ou son développement. C’est dire que pour des raisons de compétence déjà, la décision de la Justice de Paix du cercle de Lausanne du 23 juillet 1993 ne constituait pas un motif justifiant d’entrer en matière sur la demande de réexamen de l’intéressé. Le canton devait par conséquent veiller à ce que l’étranger en question se soumette à son obligation de départ (art. 18 al. 2 LA).</w:t>
      </w:r>
    </w:p>
    <w:p>
      <w:r>
        <w:rPr>
          <w:b/>
        </w:rPr>
        <w:t>E. 6</w:t>
      </w:r>
    </w:p>
    <w:p>
      <w:r>
        <w:t>Bernard Schnyder, Das Schweizerische Zivilgesetzbuch, 10e éd., Zurich 1986, p. 329 ss; Cyril Hegnauer, Droit suisse de la filiation, Berne 1978, p. 128 ss et 148 ss). Celles du droit civil ont été instituées dans l’intérêt du mineur et s’appliquent à tous les enfants sous autorité parentale. Elles permettent à l’autorité tutélaire compétente d’intervenir lorsque les parents ne remédient pas d’eux-mêmes à la situation et refusent l’assistance que leur offrent les services d’aide à la jeunesse (cf. Hegnauer, op. cit., p. 142 s.). Elles constituent donc une intervention de l’autorité publique dans l’autorité parentale (idem, eodem loco), base juridique de l’éducation et de la représentation de l’enfant ainsi que de ses biens (art. 301 ss, 304 ss, 318 ss CC). Elles n’ont donc pas pour motif, ni pour but et effet, de remédier aux conséquences liées à une décision de renvoi prise en application du droit public fédéral. Cette restriction quant aux motifs ressort de la systématique même de la loi, qui insère l’essentiel des dispositions relatives à la «protection de l’enfant» dans le chapitre du Code civil traitant «De l’autorité parentale» (cf. Tuor/Schnyder, op. cit., p. 329 in fine et 330). Il s’ensuit qu’en raison de sa portée, la décision des autorités tutélaires n’avait aucune incidence sur la décision de renvoi passée en force de chose décidée. Dans ces conditions, l’argument pris de l’existence de la décision des autorités tutélaires vaudoises ne constituait pas un motif pertinent, autrement dit de nature à permettre la modification de la décision de renvoi et d’exécution prise à l’égard de H. K., contrairement à ce que celui-ci soutient dans son recours. Il n’est donc pas possible de remettre en cause, dans le cadre d’une telle procédure cantonale, l’exécution d’une décision de renvoi prise par l’autorité fédérale dont la compétence (cf. consid. 5) en matière d’asile, au sens large, est exclusive.</w:t>
      </w:r>
    </w:p>
    <w:p>
      <w:r>
        <w:rPr>
          <w:b/>
        </w:rPr>
        <w:t>E. 7</w:t>
      </w:r>
    </w:p>
    <w:p>
      <w:r>
        <w:t>Schweizerisches Bundesarchiv, Digitale Amtsdruckschriften Archives fédérales suisses, Publications officielles numérisées Archivio federale svizzero, Pubblicazioni ufficiali digitali JAAC 59.50 - Extraits d'une décision de la Commission suisse de recours en matière d'asile du 22 octobre 1993 In Verwaltungspraxis der Bundesbehörden Dans Jurisprudence des autorités administratives de la Confédération In Giurisprudenza delle autorità amministrative della Confederazione Jahr 1995 Année Anno Band 59 Volume Volume Seite --- Page Pagina Ref. No 150 002 684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