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59.45 vom 31. März 1993</w:t>
      </w:r>
    </w:p>
    <w:p>
      <w:r>
        <w:t>Bundesverwaltung, 1993-03-31, DE</w:t>
      </w:r>
    </w:p>
    <w:p>
      <w:r>
        <w:rPr>
          <w:b/>
        </w:rPr>
        <w:t xml:space="preserve">Quelle: </w:t>
      </w:r>
      <w:r>
        <w:t>https://mcp.opencaselaw.ch/entscheid/ch_vb_JAAC_59.45__</w:t>
      </w:r>
    </w:p>
    <w:p>
      <w:r>
        <w:t>FR: CH_VB JAAC 59.45 du 31 mars 1993</w:t>
      </w:r>
    </w:p>
    <w:p>
      <w:r>
        <w:t>IT: CH_VB JAAC 59.45 del 31 marzo 1993</w:t>
      </w:r>
    </w:p>
    <w:p>
      <w:pPr>
        <w:pStyle w:val="Heading2"/>
      </w:pPr>
      <w:r>
        <w:t>Erwägungen</w:t>
      </w:r>
    </w:p>
    <w:p>
      <w:r>
        <w:rPr>
          <w:b/>
        </w:rPr>
        <w:t>E. 1</w:t>
      </w:r>
    </w:p>
    <w:p>
      <w:r>
        <w:t>Conditions générales du regroupement familial selon les art. 7 al. 2 LA et l’art. 3 OA 1 (consid. 2).</w:t>
      </w:r>
    </w:p>
    <w:p>
      <w:r>
        <w:rPr>
          <w:b/>
        </w:rPr>
        <w:t>E. 2</w:t>
      </w:r>
    </w:p>
    <w:p>
      <w:r>
        <w:t>Une demande de regroupement familial avec un réfugié reconnu peut également être présentée en faveur de parents se trouvant déjà en Suisse (consid. 3.a).</w:t>
      </w:r>
    </w:p>
    <w:p>
      <w:r>
        <w:rPr>
          <w:b/>
        </w:rPr>
        <w:t>E. 3</w:t>
      </w:r>
    </w:p>
    <w:p>
      <w:r>
        <w:t>Pouvoir d’appréciation de l’autorité de décision selon l’art. 7 al. 2 LA; les exemples de circonstances particulières, mentionnés à l’art. 3 al. 1er OA 1, ne sont pas exhaustifs (consid. 3.b).</w:t>
      </w:r>
    </w:p>
    <w:p>
      <w:r>
        <w:rPr>
          <w:b/>
        </w:rPr>
        <w:t>E. 4</w:t>
      </w:r>
    </w:p>
    <w:p>
      <w:r>
        <w:t>Im übrigen hielt sich die Beschwerdeführerin laut Meldung der Caritas vom 15. Juni 1992 zum damaligen Zeitpunkt in der Schweiz auf. Gegenwärtig befindet sich die Beschwerdeführerin wieder in ihrem Heimatstaat. b. Die Beschwerdeführer rügen weiter, die angefochtene Verfügung verstosse gegen Bundesrecht, indem das BFF vom Ermessen, das ihm im Rahmen von Art. 7 Abs. 2 AsylG eingeräumt wird, keinen Gebrauch mache. Diese Unterschreitung des Ermessens stelle eine offensichtliche Rechtsverletzung dar und könne nicht mehr als blosse Unangemessenheit angesehen werden. Im Unterschied zu Ehegatten und minderjährigen Kindern von Flüchtlingen, welche nach Art. 3 Abs. 3 und Art. 7 Abs. 1 AsylG grundsätzlich Anspruch auf Vereinigung mit dem in der Schweiz lebenden Teil der Familie haben, besteht für andere nahe Angehörige - insbesondere die Eltern - kein solcher Anspruch. Art. 7 Abs. 2 AsylG räumt der entscheidenden Behörde ein Ermessen ein, was durch die Formulierung «kann ... gewährt werden, ... wenn besondere Gründe vorliegen» ausgedrückt wird. Die in Art. 3 Abs. 1 AsylV 1 gewählte Formulierung, wonach besondere Umstände «insbesondere dann zu berücksichtigen» seien, signalisiert, dass die angeführten Anwendungsfälle nicht abschliessend sind, sondern auch andere, auf den jeweiligen Einzelfall bezogene Umstände oder Überlegungen humanitärer Art berücksichtigt werden können. Entgegen der Auffassung der Beschwerdeführer stellt der Entscheid der Vorinstanz keine Ermessensunterschreitung dar. Eine Ermessensunterschreitung liegt dann vor, wenn sich die Behörde in ihrem Entscheid gebunden erachtet, obschon ihr ein Ermessensspielraum zusteht, der eine flexible Lösung nach Einzelfallgerechtigkeit erlaubt (dazu Gygi Fritz, Bundesverwaltungsrechtspflege, 2. Aufl., Bern 1983, S. 314). Im vorliegenden Fall hat jedoch die Vorinstanz das Gesuch abgelehnt, weil sie angesichts der Tatsache, dass noch zwei weitere erwachsene Kinder der Beschwerdeführerin in der Türkei leben und sie unterstützen könnten, keine «besonderen Umstände» im Sinne des Gesetzes als gegeben erachtete, welche eine Familienzusammenführung rechtfertigen würden. Es kann darin keine rechtsfehlerhafte Einschränkung des Ermessensspielraums gesehen werden. Die entsprechende Rüge erweist sich daher als unbegründet. Zu prüfen bleibt indessen, ob die Vorinstanz das Vorhandensein «besonderer Umstände» zu Recht verneint hat. c. In der Folge ist zu prüfen, ob die Beschwerdeführer die Voraussetzungen gemäss Art. 7 AsylG erfüllen. Die grundsätzlichen Voraussetzungen zur Asylgewährung im Rahmen einer Familienzusammenführung (Trennung durch Flucht und der Wille, sich in der Schweiz zu vereinigen) sind im vorliegenden Fall an sich erfüllt. Der Beschwerdeführer ist in der Schweiz seit 1989 als Flüchtling anerkannt. Fraglich ist allenfalls, ob der Beschwerdeführer vor seiner Ausreise tatsächlich in häuslicher Gemeinschaft mit seiner Mutter lebte, das heisst ob sie «durch die Flucht» getrennt wurden. Die Frage braucht jedoch hier nicht abschliessend geprüft zu werden, da die Beschwerde, wie nachfolgend ausgeführt, ohnehin aus anderen Gründen abzulehnen ist. Zu prüfen bleibt, ob besondere Umstände im Sinne des Gesetzes vorliegen, welche für eine Vereinigung der Familie in der Schweiz sprechen.</w:t>
      </w:r>
    </w:p>
    <w:p>
      <w:r>
        <w:rPr>
          <w:b/>
        </w:rPr>
        <w:t>E. 5</w:t>
      </w:r>
    </w:p>
    <w:p>
      <w:r>
        <w:t>Wie die Beschwerdeführer glaubhaft machen, wurde die Beschwerdeführerin bis zu ihrer Einreise in die Schweiz von ihrer Tochter in M. (Türkei) betreut. Seit deren Heirat sei eine solche Betreuung jedoch nicht mehr möglich, da sich ihre Tochter um ihre eigene Familie kümmern muss. Mit der Heirat wurde sie Mitglied der Familie ihres Mannes und schied aus der Ursprungsfamilie aus. Traditionell ist die Grossfamilie die meistverbreitete Familienform in der Türkei. Die Familienbande sind nach wie vor sehr stark. Bis zu ihrer Heirat leben die Jungen in der Regel bei den Eltern, die ihrerseits im Haushalt ihrer Kinder den Lebensabend verbringen (vgl. Graf Daniel, Dossier Türkei, Hrsg. Schweizerische Zentralstelle für Flüchtlingshilfe, 2. Aufl. 1990, S. 19 f.). Die Feststellung der Beschwerdeführer, wonach die in der Türkei lebende Tochter der Beschwerdeführerin sich aus Gründen der Tradition und der sozio-kulturellen Stellung der verheirateten Frau nicht mehr um die Mutter kümmern könne, ist durchaus denkbar. Neben der oben erwähnten Tochter lebt indessen noch ein Sohn der Beschwerdeführerin in der Türkei. Er lebt in derselben Stadt wie seine Schwester. Den Akten ist zu entnehmen, dass er dort auch einen Laden besitzt. Die Aufnahme seiner Mutter ist ihm folglich finanziell zuzumuten. Es ist zudem nicht ersichtlich und wurde weder in der Beschwerde noch im Rahmen einer richterlich angesetzten Möglichkeit zur Stellungnahme näher erläutert, weshalb die von der Beschwerdeführerin geltend gemachte Notlage nicht durch seine Hilfe gemildert werden könnte. Wie die Vorinstanz richtig festhielt, stellt die Weigerung des in der Türkei lebenden Sohnes, die Beschwerdeführerin aufzunehmen, keinen hinreichenden Grund zur Asylgewährung in der Schweiz im Sinne von Art. 7 AsylG dar. Vielmehr wird gefordert, dass die Beschwerdeführerin auf die Hilfe ihres Sohnes und dessen Ehefrau, die in der Schweiz leben, angewiesen ist. Vorliegend kann jedenfalls nicht davon ausgegangen werden, dass die Beschwerdeführerin zufolge besonderer Umstände notwendigerweise dauernd in Abhängigkeit und in Gemeinschaft mit der in der Schweiz anwesenden Person zu leben gezwungen ist. Die Gewährung von Asyl im Rahmen einer Familienzusammenführung ist in casu zur Abwendung einer existenzbedrohenden Lage nicht unumgänglich. Entgegen der Meinung des Rechtsvertreters kann vom Entscheid des Polizei- und Militärdepartementes des Kantons Basel-Stadt (PMD) vom 2. Juli 1992 nicht direkt auf Art. 7 Abs. 2 AsylG geschlossen werden. Der vom PMD angerufene Art. 36 BVO ist nicht restriktiver gefasst als Art. 7 Abs. 2 AsylG. Im Gegenteil verlangt Art. 36 BVO lediglich «wichtige Gründe» und ist damit offener gehalten. Er erlaubt im Unterschied zu Art. 7 Abs. 2 AsylG auch wichtige Gründe zu berücksichtigen, die nicht unbedingt eine Zwangslage darstellen. So begründet das PMD seinen Entscheid beispielsweise damit, dass die Beschwerdeführerin der Familie helfen könne, indem sie sich ihrer Enkel annehme und so die Erwerbstätigkeit der Ehefrau des Beschwerdeführers ermögliche. Dies mag einen wichtigen Grund im Sinne von Art. 36 BVO darstellen, genügt den Anforderungen von Art. 7 Abs. 2 AsylG jedoch nicht. d. Die Beschwerdeführer rügen im weiteren, dass sich die Beschwerdeführer infolge der angefochtenen Verfügung nicht mehr sehen könnten. Als anerkannter Flüchtling sei es dem Beschwerdeführer nicht möglich, seine Mutter in der Türkei zu besuchen. Umgekehrt zeige die Erfahrung, dass</w:t>
      </w:r>
    </w:p>
    <w:p>
      <w:r>
        <w:rPr>
          <w:b/>
        </w:rPr>
        <w:t>E. 6</w:t>
      </w:r>
    </w:p>
    <w:p>
      <w:r>
        <w:t>die Fremdenpolizeibehörden nach einer einmal abgelehnten Bewilligung regelmässig davon ausgehen, dass die Wiederausreise auch nach einem bloss vorübergehenden Aufenthalt nicht gewährleistet sei. Damit sei davon auszugehen, dass die Beschwerdeführerin kein gewöhnliches Touristen-Visum erhalten würde. Dadurch verstosse die angefochtene Verfügung gegen Art. 8 EMRK. Der Familienbegriff von Art. 8 EMRK umschliesst - neben der Kleinfamilie von Eltern und Kindern als Grundgemeinschaft - grundsätzlich auch alle durch Blutsverwandtschaft, Eheschliessung oder Adoption verbundenen Familienmitglieder. Somit wird das Verhältnis zwischen erwachsenen Kindern und Eltern miterfasst. Wenn allerdings das Zusammenleben der Familie im selben Staat beendet oder beeinträchtigt wird, genügt das Vorhandensein rechtlicher Bande nicht, vielmehr bedarf es einer faktischen Familieneinheit, die zusätzliche Elemente einer Abhängigkeit aufweist, die über normale, gefühlsmässige Verbindungen hinausgehen (vgl. Wildhaber Luzius, Internationaler Kommentar zur Europäischen Menschenrechtskonvention, Köln u.a. 1992, S. 129 ff.). In casu ist das Vorhandensein der im Rahmen von Art. 8 EMRK erforderlichen Abhängigkeit nicht gegeben. Wie oben dargelegt wurde, lebt sowohl eine Tochter als auch ein Sohn der Beschwerdeführerin in der Türkei. Auch das Argument, dass die Beschwerdeführerin kein Touristenvisum erhielte, da die erteilenden Behörden davon ausgingen, dass die Wiederausreise nicht gewährleistet sei, ist unbehelflich. Die Beschwerdeführerin hat die Schweiz aus eigenem Antrieb verlassen, so dass die zuständigen Behörden keinen Grund sehen sollten, eine weitere Visumserteilung zugunsten der Beschwerdeführerin zu verweigern.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