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59.36 vom 2. September 1994</w:t>
      </w:r>
    </w:p>
    <w:p>
      <w:r>
        <w:t>Bundesverwaltung, 1994-09-02, DE</w:t>
      </w:r>
    </w:p>
    <w:p>
      <w:r>
        <w:rPr>
          <w:b/>
        </w:rPr>
        <w:t xml:space="preserve">Quelle: </w:t>
      </w:r>
      <w:r>
        <w:t>https://mcp.opencaselaw.ch/entscheid/ch_vb_JAAC_59.36__</w:t>
      </w:r>
    </w:p>
    <w:p>
      <w:r>
        <w:t>FR: CH_VB JAAC 59.36 du 2 septembre 1994</w:t>
      </w:r>
    </w:p>
    <w:p>
      <w:r>
        <w:t>IT: CH_VB JAAC 59.36 del 2 settembre 1994</w:t>
      </w:r>
    </w:p>
    <w:p>
      <w:pPr>
        <w:pStyle w:val="Heading2"/>
      </w:pPr>
      <w:r>
        <w:t>Erwägungen</w:t>
      </w:r>
    </w:p>
    <w:p>
      <w:r>
        <w:rPr>
          <w:b/>
        </w:rPr>
        <w:t>E. 1</w:t>
      </w:r>
    </w:p>
    <w:p>
      <w:r>
        <w:t>(Formelles) 2.a. Als Verfügungen gelten gemäss Art. 5 Abs. 1 Bst. b VwVG Anordnungen der Behörden im Einzelfall, die sich auf öffentliches Recht des Bundes stützen und unter anderem das Bestehen, Nichtbestehen oder den Umfang von Rechten oder Pflichten feststellen. Die in der Sache zuständige Behörde hat eine solche Feststellungsverfügung zu treffen, wenn der Gesuchsteller ein schutzwürdiges Interesse nachweist (Art. 25 Abs. 1 und 2 VwVG). Aus der Legaldefinition von Art. 5 VwVG ergibt sich, dass als Verfügungen nur Verwaltungsakte in Frage kommen, durch die eine Behörde ein individuelles und konkretes verwaltungsrechtliches Verhältnis in verbindlicher und erzwingbarer Weise regelt (vgl. Kölz Alfred / Häner Isabelle, Verwaltungsverfahren und Verwaltungsrechtspflege des Bundes, Zürich 1993, N. 82 mit Hinweisen). Die Verbindlichkeit für die Verwaltung und die Betroffenen ist ein Merkmal der Anordnungen, von denen in Art. 5 Abs. 1 VwVG die Rede ist. Sie ist Grund dafür, dass solche Anordnungen gegebenenfalls mit förmlicher Beschwerde angefochten werden können (BGE 104 Ib 241; vgl. Gygi Fritz, Bundesverwaltungsrechtspflege, Bern 1983, S. 126 ff.). b. Mit dem Erfordernis der Rechtsverbindlichkeit werden verschiedene Arten behördlicher Akte, insbesondere blosse Auskünfte, von der Kategorie der Verfügung und damit von der Rechtsmittelkontrolle ausgenommen (unveröffentlichtes Urteil des Schweizerischen Bundesgerichtes vom 18. November 1983 i.S. R. AG gegen Eidgenössische Zollverwaltung betreffend Rechtsnatur einer Tarifauskunft [hiernach: unveröffentlichter BGE], S. 10 mit Hinweis). Auskünfte der Verwaltung zielen nicht darauf ab, ein bestimmtes Rechtsverhältnis zu begründen, zu ändern oder aufzuheben. Anders als Verfügungen haben sie daher keine unmittelbaren Rechtswirkungen und sind auch nicht darauf ausgerichtet (Häfelin Ulrich / Müller Georg, Grundriss des Allgemeinen Verwaltungsrechts, Zürich 1993, N. 602i, 694). So gelten etwa auch im Steuerrecht behördliche Auskünfte regelmässig nicht als Verfügungen (vgl. statt vieler Archiv für Schweizerisches Abgaberecht [ASA] Bd. 58, S. 609 ff.; Bd. 57, S. 158 ff.; Bd. 55, S. 438 ff., Bd. 52, S. 657 f.). c. Die Zollgesetzgebung sieht zwei verschiedene Arten von Tarifauskünften vor. Einerseits hat der Zollmeldepflichtige im konkreten Veranlagungsverfahren gemäss Art. 32 ZG Anspruch auf Erteilung einer Tarifauskunft, soweit es durch die Verhältnisse gerechtfertigt ist. Andererseits sieht Art. 8 der V vom 10. Juli 1926 zum Zollgesetz (ZV, SR 631.01) eine Tarifauskunft über zukünftig einzuführende Waren vor (vgl. Blumenstein Ernst, Die Tarifauskunft als Institut der schweizerischen Zollgesetzgebung, ASA Bd. 4, S. 150 f.). Danach werden Auskünfte über die Zuteilung der im Zolltarif</w:t>
      </w:r>
    </w:p>
    <w:p>
      <w:r>
        <w:rPr>
          <w:b/>
        </w:rPr>
        <w:t>E. 3</w:t>
      </w:r>
    </w:p>
    <w:p>
      <w:r>
        <w:t>Im vorliegenden Fall unterbreitete die Beschwerdeführerin der OZD eine Tarifanfrage für das nach ihren Angaben neu auf dem Schweizer Markt einzuführende Produkt «C. Tabs» und benützte unbestrittenermassen das dafür vorgesehene offizielle Formular. Sie hat damit in eindeutiger Weise um Tarifauskunft ersucht, die dafür notwendigen Angaben gemacht und Muster eingereicht. Ein schutzwürdiges Interesse an einer Feststellung von Rechten und Pflichten im Sinne von Art. 25 VwVG hat die Beschwerdeführerin nicht belegt und zu diesem Zeitpunkt auch nicht behauptet. Sie hat in der Anfrage auch in keiner Weise zum Ausdruck gebracht, dass es ihr um eine verbindliche Feststellung ihrer Rechte und Pflichten geht und sie daher eine Feststellungsverfügung und nicht eine blosse Auskunft verlangt. Die das Auskunftsbegehren der Beschwerdeführerin begründenden Angaben sowie die beigelegten Unterlagen und Muster sind für die Tarifeinreihung allgemein erforderlich (vgl. Art. 8 Abs. 2 ZV) und sollen nicht ihr schutzwürdiges Interesse belegen. Die Tarifauskunft dient denn auch nur der Aufklärung der Beschwerdeführerin über die Rechtslage (vgl. Häfelin/Müller, a.a.O., N. 701), das heisst die Tarifeinreihung von «C. Tabs». Jedenfalls legt sie im Gegensatz zur Feststellungsverfügung die Rechte und Pflichten der Beschwerdeführerin, das heisst die Pflicht zur Entrichtung eines bestimmten, geschuldeten Zollbetrages für eine konkrete Warenmenge, weder verbindlich noch erzwingbar fest (vgl. unveröffentlichter BGE, S. 11; Urteil der ZRK vom 27. August 1982 i.S. R. AG, Nr. 369/81). Die OZD hat der Beschwerdeführerin eine Tarifauskunft über das fragliche Produkt «C. Tabs» erteilt. Eine Verfügung im Sinne des VwVG hat sie nicht erlassen. Auf die gegen die Tarifauskunft gerichtete Beschwerde ist demzufolge nicht einzutreten. 4.a. Nach Art. 9 Abs. 2 VwVG tritt die Behörde, die sich als unzuständig erachtet, durch Verfügung auf die Sache nicht ein, wenn eine Partei die Zuständigkeit behauptet. Die Beschwerdeführerin behauptet, die ZRK sei vorliegend zur Behandlung der Beschwerde gegen die Tarifauskunft zuständig. Die ZRK hat daher die Sache nicht formlos der zuständigen Behörde zu überweisen (vgl. Art. 8 Abs. 1 VwVG), sondern eine formelle Verfügung über ihre Unzuständigkeit zu erlassen, die der Anfechtung auf dem ordentlichen Rechtsmittelweg unterliegt (BGE 108 Ib 544; Urteil der ZRK vom 3. Juni 1994 i.S. S., Nr. 853/94). Es handelt sich dabei um eine atypische Zwischenverfügung (BGE 108 Ib 545 mit Hinweisen). Da Art. 45 Abs. 2 Bst. a VwVG solche Verfügungen indes ausdrücklich als Zwischenverfügungen bezeichnet, beträgt die Frist für die Anfechtung mittels Verwaltungsgerichtsbeschwerde ans Bundesgericht zehn Tage (Art. 106 Abs. 1 OG). b. Ob der Beschwerdeführerin in der vorliegenden Tariffrage der Rechtsweg gemäss Art. 8 Abs. 5 ZV an den Bundesrat offen steht (das entsprechende Begehren ist schriftlich bei der OZD einzureichen) oder ob sie allenfalls</w:t>
      </w:r>
    </w:p>
    <w:p>
      <w:r>
        <w:rPr>
          <w:b/>
        </w:rPr>
        <w:t>E. 4</w:t>
      </w:r>
    </w:p>
    <w:p>
      <w:r>
        <w:t>Anspruch auf eine Feststellungsverfügung im Sinne von Art. 25 VwVG hat, ist nicht durch die ZRK, sondern durch die in der Sache zuständige OZD zu prüfen (BGE 108 Ib 546 f.; unveröffentlichter BGE, S. 12). Die Sache ist jedenfalls zuständigkeitshalber an die OZD zu überweisen.</w:t>
      </w:r>
    </w:p>
    <w:p>
      <w:r>
        <w:rPr>
          <w:b/>
        </w:rPr>
        <w:t>E. 5</w:t>
      </w:r>
    </w:p>
    <w:p>
      <w:r>
        <w:t>stossend und mit dem Grundsatz von Treu und Glauben keineswegs vereinbar, wenn nunmehr die ZRK selbst - die rechtlichen Möglichkeiten vorausgesetzt - auf die fragliche Zwischenverfügung zurückkommen würde. Entgegenstehende öffentliche Interessen, jedenfalls solche die überwiegen würden, sind keine ersichtlich. Das Vertrauen der B. AG in den Bestand der Zwischenverfügung ist daher zu schützen. Die Zwischenverfügung der ZRK vom 8. September 1993 ist somit weder aufzuheben noch abzuändern. Demnach bleibt das Verfahren in der Sache B. AG gegen die OZD betreffend Tarifierung von «C. ultra» vor der ZRK hängig.</w:t>
      </w:r>
    </w:p>
    <w:p>
      <w:r>
        <w:rPr>
          <w:b/>
        </w:rPr>
        <w:t>E. 6</w:t>
      </w:r>
    </w:p>
    <w:p>
      <w:r>
        <w:t>Schweizerisches Bundesarchiv, Digitale Amtsdruckschriften Archives fédérales suisses, Publications officielles numérisées Archivio federale svizzero, Pubblicazioni ufficiali digitali JAAC 59.36 - Verfügung der Eidgenössischen Zollrekurskommission vom 2. September 1994 In Verwaltungspraxis der Bundesbehörden Dans Jurisprudence des autorités administratives de la Confédération In Giurisprudenza delle autorità amministrative della Confederazione Jahr 1995 Année Anno Band 59 Volume Volume Seite --- Page Pagina Ref. No 150 002 636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