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59.27 vom 26. Oktober 1994</w:t>
      </w:r>
    </w:p>
    <w:p>
      <w:r>
        <w:t>Bundesverwaltung, 1994-10-26, DE</w:t>
      </w:r>
    </w:p>
    <w:p>
      <w:r>
        <w:rPr>
          <w:b/>
        </w:rPr>
        <w:t xml:space="preserve">Quelle: </w:t>
      </w:r>
      <w:r>
        <w:t>https://mcp.opencaselaw.ch/entscheid/ch_vb_JAAC_59.27__</w:t>
      </w:r>
    </w:p>
    <w:p>
      <w:r>
        <w:t>FR: CH_VB JAAC 59.27 du 26 octobre 1994</w:t>
      </w:r>
    </w:p>
    <w:p>
      <w:r>
        <w:t>IT: CH_VB JAAC 59.27 del 26 ottobre 1994</w:t>
      </w:r>
    </w:p>
    <w:p>
      <w:pPr>
        <w:pStyle w:val="Heading2"/>
      </w:pPr>
      <w:r>
        <w:t>Erwägungen</w:t>
      </w:r>
    </w:p>
    <w:p>
      <w:r>
        <w:rPr>
          <w:b/>
        </w:rPr>
        <w:t>E. 3</w:t>
      </w:r>
    </w:p>
    <w:p>
      <w:r>
        <w:t>Niederlassungsbewilligung. Diese sind - abgesehen vom Kriterium des Zusammenwohnens gemäss Art. 17 Abs. 2 ANAG - in beiden Bestimmungen identisch. Dies war auch die Absicht des Gesetzgebers (vgl. Botschaft zur Änderung des Bürgerrechtsgesetzes, BBl 1987 III 322). Deshalb kann davon ausgegangen werden, dass die Vorstellungen darüber, worauf sich der Ausdruck «nach einem ordnungsgemässen und ununterbrochenen Aufenthalt von fünf Jahren bezieht» für beide Normen die gleichen sind. Während der bundesrätlichen Botschaft im Zusammenhang mit Art. 5a ANAG (heute Art. 7 ANAG) diesbezüglich nichts entnommen werden kann, enthalten die Ausführungen zu Art. 17 Abs. 2 ANAG eine unmissverständliche Präzisierung: «Nach einem ordnungsgemässen und ununterbrochenen Aufenthalt in ehelicher Gemeinschaft von fünf Jahren ... » (Botschaft zur Änderung des Bürgerrechtsgesetzes, a.a.O.). Gestützt darauf bleibt kein Raum, die Dauer von aufeinanderfolgenden Ehen mit einem niedergelassenen Ausländer beziehungsweise mit einem Schweizer Bürger zusammenzuzählen. 8.2. Von der Frage des Anspruchs nicht berührt ist die Frage, ob die Niederlassungsbewilligung allenfalls im Rahmen des behördlichen Ermessens (Art. 4 ANAG) erteilt werden kann. ... Das von der Praxis entwickelte Erfordernis des ununterbrochenen Aufenthaltes während einer bestimmten Zeit vor Erteilung der Niederlassungsbewilligung soll Gewähr bieten, dass der Ausländer mit den hiesigen Verhältnissen vertraut und im Hinblick auf die weitreichenden Folgen eines unbefristeten Anwesenheitsrechts auch genügend integriert ist. Schliesslich wird den Behörden dadurch erleichtert, das Verhalten des Ausländers zu prüfen und zu beurteilen (vgl. Art. 11 Abs. 1 VV vom 1. März 1949 zum Bundesgesetz über Aufenhalt und Niederlassung der Ausländer [ANAV], SR 142.201). Das Gesetz selbst verlangt nur dort, wo es um den Anspruch auf die Niederlassungsbewilligung geht, unabdingbar einen vorgängigen ununterbrochenen Aufenthalt (Art. 7 Abs. 1 und Art. 17 Abs. 2 ANAG). Art. 11 Abs. 5 ANAV, der «in der Regel» von einem ununterbrochenen 10jährigen Aufenthalt ausgeht, nennt gleichzeitig Ausnahmen von der vorgesehenen Mindestdauer, was indirekt vom Erfordernis des ununterbrochenen Aufenthaltes dispensiert. Art. 17 Abs. 1 ANAG und Art. 10 Abs. 1 ANAV schliessen grundsätzlich nicht aus, dass die Niederlassungsbewilligung sofort und ohne vorgängigen Aufenthalt erteilt wird, was für gewisse Kategorien von Ausländern tatsächlich auch entsprechend gehandhabt wird. Konkretisierend hält Art. 10 Abs. 1 ANAV zudem fest, ohne vorherige Aufenthaltsbewilligung könne insbesondere jener Ausländer die Niederlassungsbewilligung erhalten, der sie früher schon während Jahren besessen habe und trotz seiner Abwesenheit mit der Schweiz eng verbunden geblieben sei.</w:t>
      </w:r>
    </w:p>
    <w:p>
      <w:r>
        <w:rPr>
          <w:b/>
        </w:rPr>
        <w:t>E. 4</w:t>
      </w:r>
    </w:p>
    <w:p>
      <w:r>
        <w:t>Schweizerisches Bundesarchiv, Digitale Amtsdruckschriften Archives fédérales suisses, Publications officielles numérisées Archivio federale svizzero, Pubblicazioni ufficiali digitali JAAC 59.27 - Auszug aus einem Entscheid des Eidgenössischen Justiz- und Polizeidepartementes vom 26. Oktober 1994 In Verwaltungspraxis der Bundesbehörden Dans Jurisprudence des autorités administratives de la Confédération In Giurisprudenza delle autorità amministrative della Confederazione Jahr 1995 Année Anno Band 59 Volume Volume Seite --- Page Pagina Ref. No 150 002 594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