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59.26 vom 21. Januar 1994</w:t>
      </w:r>
    </w:p>
    <w:p>
      <w:r>
        <w:t>Bundesverwaltung, 1994-01-21, DE</w:t>
      </w:r>
    </w:p>
    <w:p>
      <w:r>
        <w:rPr>
          <w:b/>
        </w:rPr>
        <w:t xml:space="preserve">Quelle: </w:t>
      </w:r>
      <w:r>
        <w:t>https://mcp.opencaselaw.ch/entscheid/ch_vb_JAAC_59.26__</w:t>
      </w:r>
    </w:p>
    <w:p>
      <w:r>
        <w:t>FR: CH_VB JAAC 59.26 du 21 janvier 1994</w:t>
      </w:r>
    </w:p>
    <w:p>
      <w:r>
        <w:t>IT: CH_VB JAAC 59.26 del 21 gennaio 1994</w:t>
      </w:r>
    </w:p>
    <w:p>
      <w:pPr>
        <w:pStyle w:val="Heading2"/>
      </w:pPr>
      <w:r>
        <w:t>Erwägungen</w:t>
      </w:r>
    </w:p>
    <w:p>
      <w:r>
        <w:rPr>
          <w:b/>
        </w:rPr>
        <w:t>E. 1</w:t>
      </w:r>
    </w:p>
    <w:p>
      <w:r>
        <w:t>Das Petitionsrecht beinhaltet das Recht, sich individuell oder kollektiv mit einem Anliegen an eine Behörde zu wenden, ohne deswegen Nachteile befürchten zu müssen (Müller Georg, Kommentar BV, Art. 57, Rz. 1). Das Bundesgericht umschreibt die Petitionsfreiheit in ständiger Praxis als Recht, ungehindert Bitten, Vorschläge, Kritiken oder Beschwerden in Angelegenheiten ihres Kompetenzbereiches an Behörden zu richten, ohne deswegen Belästigungen oder Rechtsnachteile irgendwelcher Art befürchten zu müssen (BGE 98 I 488). In Abweichung zu förmlichen Rechtsmitteln anerkennt die bundesgerichtliche Praxis keinen verfassungsrechtlichen Anspruch auf materielle Behandlung oder Beantwortung einer Petition; diese muss von den Behörden lediglich zur Kenntnis genommen werden (Häfelin Ulrich / Haller Walter, Schweizerisches Bundesstaatsrecht, 3. Aufl., Zürich 1993, Nr. 1620; Müller, a.a.O., Rz. 8). Die angesprochenen Behörden werden nicht zu einem eigentlichen Handeln oder zu besonderen Massnahmen verpflichtet, sondern eher zu einem Dulden (Buser Walter, Betrachtungen zum schweizerischen Petitionsrecht, in: Festschrift für Bundesrat H.P. Tschudi zum 60. Geburtstag, Bern 1973, S. 47; Raissig Jürgen E., Das Petitionsrecht in der Schweiz - Relikt oder Chance?, Diss. Zürich 1977, S. 48; VPB 48.25, S. 156). Das Petitionsrecht ist nach der Rechtsprechung des Bundesgerichts ein Freiheitsrecht, das kein Recht auf eine positive Leistung einräumt und grundlegend auf der Meinungsäusserungsfreiheit beruht (BGE 104 Ia 437, E. 5).</w:t>
      </w:r>
    </w:p>
    <w:p>
      <w:r>
        <w:rPr>
          <w:b/>
        </w:rPr>
        <w:t>E. 2</w:t>
      </w:r>
    </w:p>
    <w:p>
      <w:r>
        <w:t>Die Beschränkung des verfassungsrechtlichen Schutzes auf die Pflicht der Behörde, von einer Petition Kenntnis zu nehmen, wird allerdings in der Lehre auch kritisiert. Nur wenn die zuständige Behörde sich mit dem Inhalt einer Petition auseinandersetze und dem Petitionär antworte, könne die Petition ihre Funktion als Kommunikationsmittel zwischen privaten Personen und staatlichen Organen erfüllen; den einzelnen als Petenten ernst nehmen, heisse auch, seine Anliegen materiell zu prüfen und ihn in geeigneter Weise über die vorgesehene Reaktion auf sein Begehren zu orientieren (Müller, a.a.O., Rz. 12/13). Es wäre als eine sinnvolle Weiterentwicklung des Petitionsrechts anzusehen, wenn man eine Beantwortungspflicht der zuständigen Behörde rechtlich verankern würde (so Art. 22 Abs. 2 des Verfassungsentwurfs von 1977 der Expertenkommission für die Vorbereitung einer Totalrevision der Bundesverfassung[16]; Schmid Gerhard, Petitionsrecht / Staatsrechtliche Beschwerde, recht 1984, S. 139 f.).</w:t>
      </w:r>
    </w:p>
    <w:p>
      <w:r>
        <w:rPr>
          <w:b/>
        </w:rPr>
        <w:t>E. 3</w:t>
      </w:r>
    </w:p>
    <w:p>
      <w:r>
        <w:t>Schweizerisches Bundesarchiv, Digitale Amtsdruckschriften Archives fédérales suisses, Publications officielles numérisées Archivio federale svizzero, Pubblicazioni ufficiali digitali JAAC 59.26 - Generalsekretariat des Eidgenössischen Justiz- und Polizeidepartements, 21. Januar 1994 In Verwaltungspraxis der Bundesbehörden Dans Jurisprudence des autorités administratives de la Confédération In Giurisprudenza delle autorità amministrative della Confederazione Jahr 1995 Année Anno Band 59 Volume Volume Seite --- Page Pagina Ref. No 150 002 591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