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59.22 vom 27. April 1994</w:t>
      </w:r>
    </w:p>
    <w:p>
      <w:r>
        <w:t>Bundesverwaltung, 1994-04-27, DE</w:t>
      </w:r>
    </w:p>
    <w:p>
      <w:r>
        <w:rPr>
          <w:b/>
        </w:rPr>
        <w:t xml:space="preserve">Quelle: </w:t>
      </w:r>
      <w:r>
        <w:t>https://mcp.opencaselaw.ch/entscheid/ch_vb_JAAC_59.22__</w:t>
      </w:r>
    </w:p>
    <w:p>
      <w:r>
        <w:t>FR: CH_VB JAAC 59.22 du 27 avril 1994</w:t>
      </w:r>
    </w:p>
    <w:p>
      <w:r>
        <w:t>IT: CH_VB JAAC 59.22 del 27 aprile 1994</w:t>
      </w:r>
    </w:p>
    <w:p>
      <w:pPr>
        <w:pStyle w:val="Heading2"/>
      </w:pPr>
      <w:r>
        <w:t>Erwägungen</w:t>
      </w:r>
    </w:p>
    <w:p>
      <w:r>
        <w:rPr>
          <w:b/>
        </w:rPr>
        <w:t>E. 1</w:t>
      </w:r>
    </w:p>
    <w:p>
      <w:r>
        <w:t>I A. Par mémoire du 24 décembre 1993, des laboratoires privés d’analyses médicales actifs et spécialisés pour plusieurs d’entre eux dans le domaine de la microbiologie ont déclaré interjeter recours au Conseil fédéral contre la liste des analyses et tarif, édictée par le Département fédéral de l’intérieur (DFI) et entrant en vigueur le 1er janvier 1994. Les recourants concluent au fond à l’annulation de dite liste des analyses et tarif et à ce que le DFI soit invité à élaborer une liste et tarif conforme au droit fédéral. Préalablement, ils requièrent la confirmation ou la restitution de l’effet suspensif du recours ou la suspension, par une mesure provisionnelle, de la mise en vigueur de la décision attaquée. Subsidiairement, ils demandent à ce que le présent recours soit reçu à titre de dénonciation et à ce que soient prises les mesures d’intervention qui s’imposent, y compris, à titre provisionnel, la suspension de la mise en vigueur de la liste des analyses et tarif. B. A l’appui de leur recours, les recourants font valoir qu’élaborée sans une participation et une consultation adéquates de l’économie privée, la liste des analyses présenterait des vices rédhibitoires. Le nouveau tarif, de toute manière insuffisamment adapté à l’augmentation du coût de la vie (prix établis en 1991), serait fondé, notamment en microbiologie, sur une conception - celle de la tarification au résultat - qui entraînerait de graves effets discriminatoires et qui ne permettrait pas d’assurer le respect du secret médical et de l’intimité des patients. La liste des analyses serait en outre incohérente et technologiquement inadaptée. En raison de ces défauts, les recourants estiment que le texte édicté par le DFI viole les principes constitutionnels destinés à protéger les citoyens et les entreprises, notamment le principe de l’égalité de traitement, la liberté du commerce et de l’industrie et la garantie de la propriété, dans la mesure où l’application du nouveau tarif entraînerait de graves difficultés financières pour divers laboratoires spécialisés et accorderait aux laboratoires publics le monopole de certaines activités d’analyse. Les recourants jugent enfin déraisonnable la date de mise en vigueur prévue au 1er janvier 1994. Le nouveau tarif de la microbiologie, en particulier, exigerait des modifications de programme informatique fondamentales, liées au passage d’une tarification à l’acte à une tarification au résultat - positif ou négatif. Les changements requis ne pourraient être opérationnels avant trois mois environ. C. Dans sa détermination du 3 février 1994, le DFI constate qu’aux termes de l’art. 1er al. 2 de l’O VIII du 30 octobre 1968 sur l’assurance-maladie concernant le choix des médicaments et des analyses (O VIII, RS 832.141.2), la liste des analyses constitue bien une ordonnance et que dès lors aucun recours n’est recevable à son encontre. Le recours interjeté en l’espèce ne saurait par conséquent déployer effet suspensif en ce qui concerne l’entrée en vigueur de la liste au 1er janvier 1994. S’agissant de son traitement à titre de dénonciation, le DFI relève que les recourants ne font en aucune manière des réprimandes</w:t>
      </w:r>
    </w:p>
    <w:p>
      <w:r>
        <w:rPr>
          <w:b/>
        </w:rPr>
        <w:t>E. 2</w:t>
      </w:r>
    </w:p>
    <w:p>
      <w:r>
        <w:t>Aux termes de l’art. 71 al. 1er PA, chacun peut dénoncer à l’autorité de surveillance les faits qui appellent son intervention dans l’intérêt public. L’al. 2 du même article ne reconnaît toutefois pas au dénonciateur les droits dont disposent les parties. Il suit de là que ce dernier ne saurait exiger de l’autorité qu’elle entre en matière sur la dénonciation ni qu’elle l’entende ou l’autorise à consulter le dossier ni qu’elle prenne des mesures d’instruction (cf. André Grisel, Traité de droit administratif, vol. II, Neuchâtel 1984, p. 950; Pierre Moor, Droit administratif, vol. II, Berne 1991, p. 340 s.).</w:t>
      </w:r>
    </w:p>
    <w:p>
      <w:r>
        <w:rPr>
          <w:b/>
        </w:rPr>
        <w:t>E. 3</w:t>
      </w:r>
    </w:p>
    <w:p>
      <w:r>
        <w:t>En l’espèce, il y a tout d’abord lieu de constater que l’établissement de la liste des analyses et tarif obéit à un mécanisme particulier. L’art. 9 O VIII confie son élaboration à la commission des médicaments qui formule à l’intention du département des propositions quant à l’admission ou à la radiation d’analyses dans la liste ainsi que quant au tarif y afférent. Cette commission, nommée par le Conseil fédéral, est composée de représentants des milieux intéressés, parmi lesquels des représentants des laboratoires (art. 8 al. 1er let. h O VIII). Elle constitue en son sein une sous-commission des analyses, composée de 12 représentants, parmi lesquels trois représentants des laboratoires (art. 10 al. 1er let. c O VIII). Une sous-commission des principes, comprenant parmi ses membres deux représentants des laboratoires, est également constituée (art. 10 al. 1er let. d O VIII). L’art. 9 al. 1er O VIII enjoint la commission des médicaments de tenir compte des voeux émis par les milieux intéressés. De même, la sous-commission des principes, appelée à se prononcer sur les questions de principe relatives à l’application de l’O VIII, partant sur des questions pouvant également relever de la liste des analyses, doit entendre les associations des milieux entrant en ligne de compte (art. 11 al. 4 O VIII). Le mécanisme de représentation et de concertation prédécrit est complété par la procédure prévue par la liste des analyses et tarif elle-même. Le ch. 5 des remarques préliminaires de dite liste, dans sa teneur du 1er janvier 1994, précise en effet ce qui suit: - la valeur du point fait périodiquement l’objet d’un examen tenant compte du développement des coûts de laboratoire, en collaboration avec la sous-commission des analyses de la commission fédérale des médicaments, et adaptée à l’aide du «manuel du GRAL» (groupe de travail de la sous-commission des analyses);</w:t>
      </w:r>
    </w:p>
    <w:p>
      <w:r>
        <w:rPr>
          <w:b/>
        </w:rPr>
        <w:t>E. 4</w:t>
      </w:r>
    </w:p>
    <w:p>
      <w:r>
        <w:t>En l’occurrence, les dénonciateurs font valoir que les défauts dont serait entachée la liste des analyses seraient dus au fait qu’elle a été élaborée sans une participation et une consultation adéquates de l’économie privée, laquelle aurait été sous-représentée aussi bien au sein du GRAL qu’au sein de la commission du diagnostic microbiologique, chargée de préparer la révision en matière de microbiologie. Aucune des dispositions de l’O VIII ou de la liste des analyses ne règle la composition du GRAL qui est un groupe de travail de la sous-commission des analyses où, ainsi qu’exposé ci-avant, les laboratoires sont représentés. Or, les dénonciateurs ne prétendent pas avoir manqué d’un représentant au sein de cette sous-commission, soit d’un intermédiaire capable de veiller à ce que leurs intérêts soient également suffisamment représentés au sein du GRAL. Selon la dénonciation, la commission du diagnostic microbiologique, au sein de laquelle les dénonciateurs reconnaissent avoir tout de même disposé de quatre représentants, est une émanation de la Société suisse de microbiologie, à la participation de laquelle il appartient aux dénonciateurs et à eux seuls de s’assurer d’une représentation suffisante. Il en va de même de la Fédération analytique médicale helvétique dont les dénonciateurs jugent également la représentativité sujette à caution. En tout état de cause, ce ne saurait être la tâche du Conseil fédéral que de débattre de questions internes à ces associations. Force est dès lors de constater que les dénonciateurs ne font valoir aucun argument susceptible de conclure à la transgression manifeste de dispositions claires de droit matériel ou de règles de procédure, notamment par le fait qu’ils n’auraient disposé, contrairement aux dispositions légales, d’aucun représentant au sein de la sous-commission des analyses et/ou de la commission des médicaments. Il y a lieu par conséquent d’admettre qu’ils avaient la faculté d’y défendre leurs intérêts et que la dénonciation est sur ce point irrecevable. Elle l’est également en ce qui concerne les griefs des dénonciateurs relatifs à la tarification des analyses au résultat, à l’adaptation du tarif à l’augmentation du coût de la vie ainsi qu’à l’adaptation technologique de la liste des analyses et tarif. Ainsi qu’exposé ci-avant, ils ont en effet la faculté d’user des moyens prévus par l’O VIII et la liste</w:t>
      </w:r>
    </w:p>
    <w:p>
      <w:r>
        <w:rPr>
          <w:b/>
        </w:rPr>
        <w:t>E. 5</w:t>
      </w:r>
    </w:p>
    <w:p>
      <w:r>
        <w:t>Selon les dénonciateurs, le système mis en place par la liste des analyses et tarif en bactériologie et en sérologie impliquerait de graves violations du secret médical puisque les factures de laboratoires, qui doivent «clairement indiquer de quelle analyse il s’agit (ch. 11 des remarques préliminaires)», permettront aux caisses-maladie ou - en cas d’indiscrétion lors de l’ouverture du courrier - à la famille d’un patient de connaître le diagnostic de l’examen, c’est-à-dire la nature de l’affection dont est atteint ou dont craint d’être atteint le patient concerné. Eu égard à la subsidiarité de la dénonciation, l’autorité d’instruction a procédé à un échange de vues avec le Préposé fédéral à la protection des données ainsi qu’avec la Commission fédérale de la protection des données, lesquels ont tous deux déclaré devoir décliner leur compétence en la présente cause. Il appert toutefois de la réponse du Préposé du 28 février 1994 que, saisis de demandes analogues à celle des dénonciateurs au cas d’espèce, ses services ont engagé avec le DFI une procédure de laquelle il résulte que ce département a décidé de mettre sur pied un groupe de travail composé de représentants de tous les milieux intéressés et chargé d’examiner les problèmes que pose la liste des analyses et tarif sous l’angle de la protection des données. Ce groupe doit en particulier examiner quelles corrections sont susceptibles d’être apportées à dite liste lors de sa révision bisannuelle pour diminuer le potentiel de risque à cet égard. Il a également pour mandat de traiter de la problématique générale de la transmission de données médicales en ce domaine. Dès lors, le Conseil fédéral constate que des mesures sont d’ores et déjà prises en cette matière. Dans ces conditions et compte tenu de ce que la liste des analyses et tarif n’est que l’un des nombreux canaux par lesquels des données médicales peuvent être véhiculées et qu’il importe également d’examiner l’ensemble de la problématique d’une telle transmission si l’on veut améliorer la protection du secret médical, le Conseil fédéral ne juge pas opportun de suspendre l’application de la liste des analyses et tarif tel que le requièrent les dénonciateurs. Outre les nombreux problèmes pratiques qu’une telle suspension impliquerait, il y a lieu également de considérer qu’une éventuelle remise en vigueur de l’ancienne liste des analyses, afin de combler le vide juridique qu’une suspension occasionnerait, serait aussi problématique que la nouvelle du point de vue de la protection des données. Nul doute que le groupe de travail institué par le DFI, ainsi que les milieux intéressés appelés à y participer, feront diligence afin de trouver à ce problème une solution la plus adéquate et la plus rapide possible.</w:t>
      </w:r>
    </w:p>
    <w:p>
      <w:r>
        <w:rPr>
          <w:b/>
        </w:rPr>
        <w:t>E. 6</w:t>
      </w:r>
    </w:p>
    <w:p>
      <w:r>
        <w:t>Schweizerisches Bundesarchiv, Digitale Amtsdruckschriften Archives fédérales suisses, Publications officielles numérisées Archivio federale svizzero, Pubblicazioni ufficiali digitali JAAC 59.22 - Décision du Conseil fédéral du 27 avril 1994 In Verwaltungspraxis der Bundesbehörden Dans Jurisprudence des autorités administratives de la Confédération In Giurisprudenza delle autorità amministrative della Confederazione Jahr 1995 Année Anno Band 59 Volume Volume Seite --- Page Pagina Ref. No 150 002 579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