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59.123 vom 30. November 1994</w:t>
      </w:r>
    </w:p>
    <w:p>
      <w:r>
        <w:t>Bundesverwaltung, 1994-11-30, DE</w:t>
      </w:r>
    </w:p>
    <w:p>
      <w:r>
        <w:rPr>
          <w:b/>
        </w:rPr>
        <w:t xml:space="preserve">Quelle: </w:t>
      </w:r>
      <w:r>
        <w:t>https://mcp.opencaselaw.ch/entscheid/ch_vb_JAAC_59.123__</w:t>
      </w:r>
    </w:p>
    <w:p>
      <w:r>
        <w:t>FR: CH_VB JAAC 59.123 du 30 novembre 1994</w:t>
      </w:r>
    </w:p>
    <w:p>
      <w:r>
        <w:t>IT: CH_VB JAAC 59.123 del 30 novembre 1994</w:t>
      </w:r>
    </w:p>
    <w:p>
      <w:pPr>
        <w:pStyle w:val="Heading2"/>
      </w:pPr>
      <w:r>
        <w:t>Erwägungen</w:t>
      </w:r>
    </w:p>
    <w:p>
      <w:r>
        <w:rPr>
          <w:b/>
        </w:rPr>
        <w:t>E. 1</w:t>
      </w:r>
    </w:p>
    <w:p>
      <w:r>
        <w:t>(...) La Commission relève qu’en l’espèce, le Tribunal fédéral (TF) était compétent, conformément à l’art. 42 de la loi fédérale d’organisation judiciaire (OJ), pour connaître en instance unique des contestations de droit civil entre le canton du Tessin et la requérante. Toutefois, en l’occurrence le TF, siégeant à cinq juges en séance publique et après avoir procédé à un examen approfondi de la cause, a décliné sa compétence pour connaître du sort de la somme d’argent en cause. En effet, celle-ci avait fait l’objet d’une saisie pratiquée en matière répressive par le juge d’instruction du Sopraceneri à l’occasion des infractions reprochées au mari de la requérante. La Commission note qu’il peut être mis fin à la saisie par la juridiction de jugement qui statuera sur le bien-fondé des accusations dirigées contre le mari de la requérante. La Commission estime, dès lors, qu’en constatant que la réclamation que la requérante faisait valoir se rapportait à la procédure pénale contre le mari de la requérante et devrait être déterminé dans le cadre de cette procédure qui, elle, assurait une protection juridique suffisante, le TF a déterminé que la requérante n’avait pas, à présent, un droit de se voir restituer le montant en question, mais a laissé au juge pénal la tâche de déterminer, à une date ultérieure, si la requérante pouvait avoir le droit de se voir restituer le montant en question. Dans ces circonstances, on ne saurait considérer que la requérante ait été privée du droit à l’accès à un tribunal pour la détermination de ses droits de caractère civil. Il s’ensuit que, sur ce point, la requête est manifestement mal fondée et doit être rejetée en application de l’art. 27 § 2 CEDH.</w:t>
      </w:r>
    </w:p>
    <w:p>
      <w:r>
        <w:rPr>
          <w:b/>
        </w:rPr>
        <w:t>E. 2</w:t>
      </w:r>
    </w:p>
    <w:p>
      <w:r>
        <w:t>Schweizerisches Bundesarchiv, Digitale Amtsdruckschriften Archives fédérales suisses, Publications officielles numérisées Archivio federale svizzero, Pubblicazioni ufficiali digitali JAAC 59.123 - Décision de la Comm. eur. DH du 30 novembre 1994, déclarant irrecevable la req. N° 20861/92, Anni Haser-Tavsanci c / Suisse In Verwaltungspraxis der Bundesbehörden Dans Jurisprudence des autorités administratives de la Confédération In Giurisprudenza delle autorità amministrative della Confederazione Jahr 1995 Année Anno Band 59 Volume Volume Seite --- Page Pagina Ref. No 150 002 435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