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58.58 vom 28. Juli 1993</w:t>
      </w:r>
    </w:p>
    <w:p>
      <w:r>
        <w:t>Bundesverwaltung, 1993-07-28, DE</w:t>
      </w:r>
    </w:p>
    <w:p>
      <w:r>
        <w:rPr>
          <w:b/>
        </w:rPr>
        <w:t xml:space="preserve">Quelle: </w:t>
      </w:r>
      <w:r>
        <w:t>https://mcp.opencaselaw.ch/entscheid/ch_vb_JAAC_58.58__</w:t>
      </w:r>
    </w:p>
    <w:p>
      <w:r>
        <w:t>FR: CH_VB JAAC 58.58 du 28 juillet 1993</w:t>
      </w:r>
    </w:p>
    <w:p>
      <w:r>
        <w:t>IT: CH_VB JAAC 58.58 del 28 luglio 1993</w:t>
      </w:r>
    </w:p>
    <w:p>
      <w:pPr>
        <w:pStyle w:val="Heading2"/>
      </w:pPr>
      <w:r>
        <w:t>Erwägungen</w:t>
      </w:r>
    </w:p>
    <w:p>
      <w:r>
        <w:rPr>
          <w:b/>
        </w:rPr>
        <w:t>E. 1</w:t>
      </w:r>
    </w:p>
    <w:p>
      <w:r>
        <w:t>Les décisions de classement de la CRA ne peuvent en principe être revues ni par la voie de la reconsidération ni par celle de la révision (consid. 1.a).</w:t>
      </w:r>
    </w:p>
    <w:p>
      <w:r>
        <w:rPr>
          <w:b/>
        </w:rPr>
        <w:t>E. 2</w:t>
      </w:r>
    </w:p>
    <w:p>
      <w:r>
        <w:t>Précision de jurisprudence (cf. JAAC 58.57) concernant la révocabilité d’une déclaration de retrait du recours pour vice de la volonté: application par analogie de l’art. 24 al. 1 CO (consid. 2).</w:t>
      </w:r>
    </w:p>
    <w:p>
      <w:r>
        <w:rPr>
          <w:b/>
        </w:rPr>
        <w:t>E. 3</w:t>
      </w:r>
    </w:p>
    <w:p>
      <w:r>
        <w:t>der strittigen Erklärung sei auf den tatsächlichen Willen und nicht auf den Wortlaut abzustellen, weshalb die Mitteilung vom 22. März 1993 nicht als Rückzugserklärung verstanden werden könne. Aus den Akten ergibt sich, dass der Gesuchsteller mindestens zweimal bei der zuständigen kantonalen Behörde formell um die Erteilung einer fremdenpolizeilichen Bewilligung nachgesucht hat. Die beiden Gesuche wurden mit Verfügungen vom 29. August 1990 und 31. Juli 1992 abgewiesen. Aus den Akten ergibt sich nicht der geringste Hinweis darauf, dass der Gesuchsteller zum Zeitpunkt der Abgabe seiner Erklärung die Ausreise aus der Schweiz in sein Heimat- oder ein Drittland geplant haben sollte. Mit der Eingabe vom 21. Juni 1993 wird zudem die entsprechende, auf der Rückseite eines Kleidungs-Preisschildes angefertigte handschriftliche Vorlage des Kollegen K. (Text: «Sehr geehrte Herren. Hiermit möchte ich die noch ausstehende Beschwerde laut beiliegender Kopie per sofort zurückziehen») als Beweismittel zu den Akten gereicht und K. als Zeuge aufgerufen. Die Sachverhaltsdarstellung des Gesuchstellers erscheint bei dieser Sachlage glaubhaft. Zu prüfen ist somit im folgenden, ob er sich im Zeitpunkt der Abgabe der Rückzugserklärung in einem wesentlichen Irrtum im Sinne von Art. 23 ff. OR befunden hat. a.a. In der Eingabe wird ausgeführt, der tatsächliche Wille des Gesuchstellers sei nicht auf die Abgabe einer Rückzugserklärung, sondern auf die Erlangung einer Aufenthaltsbewilligung ausgerichtet gewesen, weshalb seine Mitteilung vom 22. März 1993 nicht als Rückzugserklärung verstanden werden könne. Sinngemäss wird damit das Vorliegen eines Erklärungsirrtums (im Sinne von Art. 24 Abs. 1 Ziff. 1 bis 3 OR) geltend gemacht. Dieser Ansicht kann nicht gefolgt werden: Aufgrund seiner wiederholten Interventionen bei der kantonalen Fremdenpolizei war sich der Gesuchsteller offensichtlich im klaren darüber, dass diese Behörde und nicht die ARK für die Ausstellung einer Aufenthaltsbewilligung zuständig gewesen wäre. Aus der Formulierung seiner Erklärung geht klar hervor, dass er bei der Beschwerdeinstanz sein Rechtsmittel zurückziehen wollte. Dass das Schreiben an den nur bis zum 1. April 1992 für die Behandlung seiner Beschwerde zuständigen Beschwerdedienst des Eidgenössischen Justiz- und Polizeidepartements (EJPD) gerichtet wurde, ändert an dieser Feststellung nichts. In der Eingabe vom 21. Juni 1993 wird ausgeführt, er habe diesen Schritt als notwendige Voraussetzung für die Erteilung einer entsprechenden Bewilligung angesehen, was das Vorliegen eines Erklärungsirrtums ebenfalls ausschliesst. b.b. Zu prüfen bleibt, ob sich der Gesuchsteller bei der Abgabe seiner Willenserklärung in einem Grundlagenirrtum im Sinne von Art. 24 Abs. 1 Ziff. 4 OR befunden hat. Die privatrechtliche Lehre und Praxis (vgl. etwa BGE 113 II 27, BGE 109 II 324 mit weiteren Hinweisen; Bucher Eugen, Schweizerisches Obligationenrecht Allgemeiner Teil, 2. Aufl., Zürich 1988, S. 206 f.) unterscheidet einerseits bei der Frage der Wesentlichkeit des Grundlagenirrtums nach subjektiven und objektiven Gesichtspunkten. Andererseits wird für die Annahme eines wesentlichen Grundlagenirrtums verlangt, dass dieser für die Gegenpartei mindestens erkennbar war. Während letztgenanntes Kriterium auf die Anwendbarkeit bei zweiseitigen Verträgen zugeschnitten (vgl. BGE 113 II 27) und dessen Anwendung im Verwaltungsverfahren nicht sinnvoll</w:t>
      </w:r>
    </w:p>
    <w:p>
      <w:r>
        <w:rPr>
          <w:b/>
        </w:rPr>
        <w:t>E. 4</w:t>
      </w:r>
    </w:p>
    <w:p>
      <w:r>
        <w:t>ist, erscheint die erstgenannte Unterscheidung auch im vorliegenden Fall sachgerecht. Im folgenden fragt sich somit zum einen, ob der Irrtum aus der Sicht des Gesuchstellers für die Abgabe der Rückzugserklärung eine unerlässliche Bedingung darstellte, mithin dafür kausal war (subjektive Seite), welche Frage, wie vorne bereits dargelegt, zu bejahen ist. Andererseits ist zu prüfen, ob sich die Annahme dieser Unerlässlichkeit objektiv rechtfertigen lässt. Wie in der Eingabe vom 21. Juni 1993 zutreffend ausgeführt wird, ist der Rat des Kollegen K. zwar falsch, aber nachvollziehbar, teilen doch die zuständigen kantonalen Behörden Ausländern gegebenenfalls regelmässig mit, der Kanton sei bereit, dem Bundesamt für Ausländerfragen einen Antrag auf Erteilung einer humanitären Aufenthaltsbewilligung zu stellen, sofern die Asylbeschwerde zurückgezogen werde. Zu berücksichtigen ist diesbezüglich auch, dass gerade tamilischen Beschwerdeführern in letzter Zeit verschiedentlich solche Bewilligungen erteilt wurden. Die Tatsache, dass K. dem Gesuchsteller sogar den Text der angeblich nötigen Erklärung vorformulierte, mag beim - zu diesem Zeitpunkt noch nicht durch einen Rechtsbeistand vertretenen - Gesuchsteller durchaus den Eindruck einer gewissen Erfahrung und Kompetenz seines Kollegen erweckt haben. Er muss sich zwar vorwerfen lassen, durch das Unterlassen einer Überprüfung der Angaben von K. fahrlässig gehandelt zu haben, nach dem Gesagten lässt sich der Irrtum indessen objektiv rechtfertigen. c.c. Bei dieser Sachlage ist davon auszugehen, dass sich der Gesuchsteller bei der Abgabe seiner Rückzugserklärung in einem wesentlichen Motivirrtum befunden hat. Das vorliegende Gesuch ist damit gutzuheissen, der Abschreibungsbeschluss der ARK vom 2. April 1993 aufzuheben und das Beschwerdeverfahren wieder aufzunehmen. 3. Bei diesem Ausgang des Verfahrens ist der Gesuchsteller zwar grundsätzlich als obsiegende Partei zu bezeichnen. Die fahrlässige Abgabe seiner Rückzugserklärung, welche das vorliegende Verfahren verursacht hat, ist jedoch als Verletzung seiner Verfahrenspflichten zu qualifizieren, weshalb ihm die Verfahrenskosten auferlegt werden (Art. 63 Abs. 3 VwVG). Aus dem gleichen Grund wird von der Zusprechung einer Parteientschädigung abgesehen (Art. 64 Abs. 1 VwVG). Die mit Entscheid vom 2. April 1993 für das Beschwerdeverfahren auferlegten Verfahrenskosten sind dem Gesuchsteller rückzuerstatten, beziehungsweise ist das Wiederaufleben des verrechneten Kostenvorschusses festzustellen.</w:t>
      </w:r>
    </w:p>
    <w:p>
      <w:r>
        <w:rPr>
          <w:b/>
        </w:rPr>
        <w:t>E. 5</w:t>
      </w:r>
    </w:p>
    <w:p>
      <w:r>
        <w:t>Schweizerisches Bundesarchiv, Digitale Amtsdruckschriften Archives fédérales suisses, Publications officielles numérisées Archivio federale svizzero, Pubblicazioni ufficiali digitali JAAC 58.58 - Auszug aus einem Entscheid der Schweizerischen Asylrekurskommission vom 28. Juli 1993 In Verwaltungspraxis der Bundesbehörden Dans Jurisprudence des autorités administratives de la Confédération In Giurisprudenza delle autorità amministrative della Confederazione Jahr 1994 Année Anno Band 58 Volume Volume Seite --- Page Pagina Ref. No 150 002 213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