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58.43 vom 18. Dezember 1990</w:t>
      </w:r>
    </w:p>
    <w:p>
      <w:r>
        <w:t>Bundesverwaltung, 1990-12-18, DE</w:t>
      </w:r>
    </w:p>
    <w:p>
      <w:r>
        <w:rPr>
          <w:b/>
        </w:rPr>
        <w:t xml:space="preserve">Quelle: </w:t>
      </w:r>
      <w:r>
        <w:t>https://mcp.opencaselaw.ch/entscheid/ch_vb_JAAC_58.43__</w:t>
      </w:r>
    </w:p>
    <w:p>
      <w:r>
        <w:t>FR: CH_VB JAAC 58.43 du 18 décembre 1990</w:t>
      </w:r>
    </w:p>
    <w:p>
      <w:r>
        <w:t>IT: CH_VB JAAC 58.43 del 18 dicembre 1990</w:t>
      </w:r>
    </w:p>
    <w:p>
      <w:pPr>
        <w:pStyle w:val="Heading2"/>
      </w:pPr>
      <w:r>
        <w:t>Erwägungen</w:t>
      </w:r>
    </w:p>
    <w:p>
      <w:r>
        <w:rPr>
          <w:b/>
        </w:rPr>
        <w:t>E. 1</w:t>
      </w:r>
    </w:p>
    <w:p>
      <w:r>
        <w:t>I A. Die Bündner Regierung beschränkte mit Beschluss vom 18. Dezember 1990 auf den Verbindungsstrassen Meierhof - St. Josef, Chummenbühl - Miraniga und Axenstein - St. Martin die Höchstbreite für Fahrzeuge auf 2,30 m. Die Veröffentlichung dieser Verkehrsanordnungen erfolgte am 11. Januar 1991. B. Gegen diese Verkehrsbeschränkungen beschwert sich der Gemeindevorstand Obersaxen beim Bundesrat. Er beantragt die Zulassung von 2,50 m breiten Fahrzeugen auf den umstrittenen Strecken... II ...</w:t>
      </w:r>
    </w:p>
    <w:p>
      <w:r>
        <w:rPr>
          <w:b/>
        </w:rPr>
        <w:t>E. 3</w:t>
      </w:r>
    </w:p>
    <w:p>
      <w:r>
        <w:t>weshalb breitere Fahrzeuge auch weiter hinaus auf die Bankinen fahren. Wegen derer zum Teil mangelhafter Tragfähigkeit sind solche Manöver aus Verkehrssicherheitsgründen zu vermeiden. Der Zugang zum Skigebiet Obersaxen mit 2,50 m breiten Gesellschaftswagen ist gewährleistet, da solche Fahrzeuge bis Meierhof zugelassen sind. An dieser Strecke befinden sich mehrere Skilifte, die Skifahren im ganzen Skigebiet erlauben. Die Einwände in dieser Hinsicht erscheinen daher wenig glaubwürdig. Die übrigen vom Beschwerdeführer geltend gemachten Nachteile für die Feriengäste und die Gewerbe- und Landwirtschaftsbetriebe vermögen keinen anderen Entscheid zu bewirken. Diese Umtriebe (Umlad / Umsteigen) sind angesichts der auf dem Spiele stehenden Verkehrssicherheit in Kauf zu nehmen. Der Gemeindevorstand bringt weiter vor, die Stimmbürgerinnen und Stimmbürger von Obersaxen hätten sich anlässlich der eidgenössischen Abstimmung für die Zulassung von breiteren Fahrzeugen ausgesprochen, weshalb die Überraschung gross gewesen sei, als die Regierung willkürlich und ohne Anfrage der Gemeinde die Höchstbreite auf 2,30 m festgesetzt habe. Diese Rüge erweist sich als unbehelflich. Zunächst ist darauf hinzuweisen, dass Verkehrsanordnungen nach heute herrschender Auffassung Allgemeinverfügungen darstellen. Die Allgemeinverfügung ist dadurch gekennzeichnet, dass sie sich an eine unbestimmte Anzahl Personen richtet, aber einen bestimmten Sachverhalt regelt. Dieser besonderen Rechtsnatur wegen ist es - von der hier nicht zur Diskussion stehenden Ausnahme in Art. 113 Abs. 1 SSV abgesehen - nicht erforderlich, die Betroffenen vor Erlass der Anordnung einzeln anzuhören. Im weiteren hat der Bundesrat in Beschwerdeentscheiden wiederholt festgehalten, dass die zuständigen Behörden für die richtige Durchsetzung des Strassenverkehrsrechts zu sorgen haben. Stehen wie hier öffentliche Interessen (Verkehrssicherheit) auf dem Spiel, kann sie verkehrspolizeiliche Anordnungen auch gegen den Willen der Bevölkerung oder eines Teiles davon erlassen. Zusammenfassend ist festzuhalten, dass die Vorinstanz Bundesrecht, namentlich Art. 3 Abs. 4 SVG, nicht verletzte. Obschon im vorliegenden Fall auch die Angemessenheit der Massnahme grundsätzlich zu überprüfen ist (Art. 49 Bst. c VwVG), auferlegt sich der Bundesrat bei der Beurteilung von Verkehrsanordnungen praxisgemäss Zurückhaltung, weil die kantonalen Behörden die örtlichen Verhältnisse besser überblicken und ihnen beim Erlass solcher Anordnungen ein gewisser Ermessensspielraum zusteht. Die angefochtene Verfügung ist daher nicht zu beanstanden.</w:t>
      </w:r>
    </w:p>
    <w:p>
      <w:r>
        <w:rPr>
          <w:b/>
        </w:rPr>
        <w:t>E. 4</w:t>
      </w:r>
    </w:p>
    <w:p>
      <w:r>
        <w:t>Schweizerisches Bundesarchiv, Digitale Amtsdruckschriften Archives fédérales suisses, Publications officielles numérisées Archivio federale svizzero, Pubblicazioni ufficiali digitali JAAC 58.43 - Entscheid des Bundesrates vom 27. Januar 1993 In Verwaltungspraxis der Bundesbehörden Dans Jurisprudence des autorités administratives de la Confédération In Giurisprudenza delle autorità amministrative della Confederazione Jahr 1994 Année Anno Band 58 Volume Volume Seite --- Page Pagina Ref. No 150 002 165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