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58.31A vom 20. Januar 1993</w:t>
      </w:r>
    </w:p>
    <w:p>
      <w:r>
        <w:t>Bundesverwaltung, 1993-01-20, DE</w:t>
      </w:r>
    </w:p>
    <w:p>
      <w:r>
        <w:rPr>
          <w:b/>
        </w:rPr>
        <w:t xml:space="preserve">Quelle: </w:t>
      </w:r>
      <w:r>
        <w:t>https://mcp.opencaselaw.ch/entscheid/ch_vb_JAAC_58.31A__</w:t>
      </w:r>
    </w:p>
    <w:p>
      <w:r>
        <w:t>FR: CH_VB JAAC 58.31A du 20 janvier 1993</w:t>
      </w:r>
    </w:p>
    <w:p>
      <w:r>
        <w:t>IT: CH_VB JAAC 58.31A del 20 gennaio 1993</w:t>
      </w:r>
    </w:p>
    <w:p>
      <w:pPr>
        <w:pStyle w:val="Heading2"/>
      </w:pPr>
      <w:r>
        <w:t>Erwägungen</w:t>
      </w:r>
    </w:p>
    <w:p>
      <w:r>
        <w:rPr>
          <w:b/>
        </w:rPr>
        <w:t>E. 1</w:t>
      </w:r>
    </w:p>
    <w:p>
      <w:r>
        <w:t>Le dénonciateur allègue que les motifs retenus par le Délégué aux réfugiés (DAR) ont été repris dans leur quasi totalité dans la décision rendue le 5 septembre 1991 par le DFJP. Il reproche ainsi à l’autorité de recours de ne pas avoir exercé son pouvoir de contrôle. Conformément à l’art. 12a al. 1 de la Loi du 5 octobre 1979 sur l’asile (LA, 142.31), quiconque demande asile doit prouver ou du moins rendre vraisemblable qu’il est un réfugié. Le requérant d’asile doit au juste prouver ou rendre vraisemblables les faits qu’il invoque et qui permettront d’établir la qualité de réfugié (Walter Kälin, Grundriss des Asylverfahrens, Bâle 1990, p. 300). A ce titre, seule la conviction de l’autorité de décision est décisive pour dire quel fait est considéré comme établi ou du moins comme vraisemblable. L’autorité forme cette conviction en tenant compte des preuves administrées, de ses propres connaissances, de l’audition des parties, ainsi que de l’attitude des parties dans la procédure (Max Guldener, Schweizerisches Zivilprozessrecht, Zurich 1979, 3e éd., p. 321 ss). Son pouvoir d’appréciation est donc important. L’art. 12a al. 3 LA prévoit que les allégations qui sont contradictoires sur des points essentiels ne sont pas vraisemblables. Dans le cas présent, les contradictions et les invraisemblances relevées préalablement par le DAR ont été également observées par le DFJP. Ceci ne signifie cependant pas que l’autorité de recours n’a pas fait usage de son pouvoir de contrôle. Par référence à la décision contestée, il apparaît que c’est sur la base des déclarations faites par le dénonciateur que le DFJP a constaté les contradictions quant aux motifs qui l’ont amené à abattre le major X et celles relatives aux circonstances de l’exécution. Pareilles constatations ont donc été faites indépendamment des considérants retenus par l’autorité de première instance. Le DFJP ayant examiné les questions de fait et de droit, on ne peut pas lui reprocher d’avoir violé une règle claire de droit matériel ou de procédure. Selon la doctrine, les autorités se soucient des faits pertinents. Elles ne sont donc pas tenues de prendre position sur tous les moyens des parties (André Grisel, Traité de droit administratif, Neuchâtel 1984, p. 387 et 929).</w:t>
      </w:r>
    </w:p>
    <w:p>
      <w:r>
        <w:rPr>
          <w:b/>
        </w:rPr>
        <w:t>E. 2</w:t>
      </w:r>
    </w:p>
    <w:p>
      <w:r>
        <w:t>Le dénonciateur reproche au DFJP de ne pas avoir pris en considération des faits établis par pièces. Conformément à ce qui précède, seule la conviction de l’autorité de décision est décisive pour dire quel fait est considéré comme établi. En outre, l’art. 37 de la LF de procédure civile fédérale du 4 décembre 1947 (PCF, RS 273), également applicable à la procédure administrative (art. 19 PA), prévoit que le juge n’est pas lié par les offres de preuves des parties. En l’occurrence, le DFJP a exposé les raisons pour lesquelles il s’est écarté des pièces produites. Ne concernant pas personnellement le dénonciateur, celles-ci n’avaient en effet aucune valeur probante. Aucune règle claire de droit matériel ou de procédure n’a donc été violée.</w:t>
      </w:r>
    </w:p>
    <w:p>
      <w:r>
        <w:rPr>
          <w:b/>
        </w:rPr>
        <w:t>E. 3</w:t>
      </w:r>
    </w:p>
    <w:p>
      <w:r>
        <w:t>Schweizerisches Bundesarchiv, Digitale Amtsdruckschriften Archives fédérales suisses, Publications officielles numérisées Archivio federale svizzero, Pubblicazioni ufficiali digitali JAAC 58.31A - Décision du Conseil fédéral du 20 janvier 1993 In Verwaltungspraxis der Bundesbehörden Dans Jurisprudence des autorités administratives de la Confédération In Giurisprudenza delle autorità amministrative della Confederazione Jahr 1994 Année Anno Band 58 Volume Volume Seite --- Page Pagina Ref. No 150 002 120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