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58.116 vom 30. August 1993</w:t>
      </w:r>
    </w:p>
    <w:p>
      <w:r>
        <w:t>Bundesverwaltung, 1993-08-30, DE</w:t>
      </w:r>
    </w:p>
    <w:p>
      <w:r>
        <w:rPr>
          <w:b/>
        </w:rPr>
        <w:t xml:space="preserve">Quelle: </w:t>
      </w:r>
      <w:r>
        <w:t>https://mcp.opencaselaw.ch/entscheid/ch_vb_JAAC_58.116__</w:t>
      </w:r>
    </w:p>
    <w:p>
      <w:r>
        <w:t>FR: CH_VB JAAC 58.116 du 30 août 1993</w:t>
      </w:r>
    </w:p>
    <w:p>
      <w:r>
        <w:t>IT: CH_VB JAAC 58.116 del 30 agosto 1993</w:t>
      </w:r>
    </w:p>
    <w:p>
      <w:pPr>
        <w:pStyle w:val="Heading2"/>
      </w:pPr>
      <w:r>
        <w:t>Erwägungen</w:t>
      </w:r>
    </w:p>
    <w:p>
      <w:r>
        <w:rPr>
          <w:b/>
        </w:rPr>
        <w:t>E. 1</w:t>
      </w:r>
    </w:p>
    <w:p>
      <w:r>
        <w:t>Le requérant se plaint de la décision de refus [de sa caisse-maladie de rembourser les] traitements dispensés par son médecin [au motif que celui-ci n’avait pas adhéré à la convention qui avait pour objet notamment de fixer les tarifs médicaux applicables par les médecins signataires.] Il considère que cette décision constitue une limitation au droit de choisir librement son médecin et méconnaît le droit au respect de la vie privée prévu à l’art. 8 CEDH. [Libellé de l’art. 8 CEDH[8]] La Commission relève d’emblée que le droit au libre choix du médecin ne figure pas, comme tel, au nombre des droits et libertés garantis par la convention (déc. du 14 juillet 1977 sur les req. N° 7289/75 et N° 7349/76, DR 9, p. 57). Toutefois, à supposer même que l’on puisse déduire ce droit de l’art. 8 CEDH, la Commission estime que le refus de rembourser les traitements effectués par un médecin non conventionné peut constituer un motif important dans le choix d’un médecin, mais ne supprime pas le droit au libre choix de son médecin. Elle constate que le requérant prétend non pas que l’Etat doit s’abstenir d’agir, mais qu’il doit adopter des mesures pour modifier le système existant. Il se pose donc la question de savoir si le respect effectif de la vie privée du requérant crée pour les autorités suisses une obligation positive en la matière.</w:t>
      </w:r>
    </w:p>
    <w:p>
      <w:r>
        <w:rPr>
          <w:b/>
        </w:rPr>
        <w:t>E. 2</w:t>
      </w:r>
    </w:p>
    <w:p>
      <w:r>
        <w:t>Le requérant, se fondant sur les mêmes faits, se plaint encore de la violation du droit à sa liberté de pensée garanti par l’art. 9 CEDH. La Commission rappelle qu’aux termes de l’art. 9 CEDH: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Toutefois, selon la jurisprudence de la Commission, on ne saurait considérer comme protégés par l’art. 9 § 1 CEDH, les faits et gestes de particuliers qui n’expriment pas réellement leur conviction, même s’ils sont motivés ou inspirés par celle-ci (voir rapport Comm. du 12 octobre 1978 Arrowsmith c / Royaume-Uni, § 71, DR 19, p. 5 et 49). La Commission estime qu’en l’espèce, le requérant, en choisissant son médecin, n’a pas exprimé ses convictions au sens de l’art. 9 § 1 CEDH mais a manifesté son attachement à ses compétences et à l’importance que celui-ci attribuait au serment d’Hippocrate.</w:t>
      </w:r>
    </w:p>
    <w:p>
      <w:r>
        <w:rPr>
          <w:b/>
        </w:rPr>
        <w:t>E. 3</w:t>
      </w:r>
    </w:p>
    <w:p>
      <w:r>
        <w:t>Il s’ensuit que le restant de la requête est également manifestement mal fondé et doit être rejeté en application de l’art. 27 § 2 CEDH. [8] «1 Toute personne a droit au respect de sa vie privée et familiale, de son domicile et de sa correspondance. 2I1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w:t>
      </w:r>
    </w:p>
    <w:p>
      <w:r>
        <w:t>Schweizerisches Bundesarchiv, Digitale Amtsdruckschriften Archives fédérales suisses, Publications officielles numérisées Archivio federale svizzero, Pubblicazioni ufficiali digitali JAAC 58.116 - Déc. de la Comm. eur. DH du 30 août 1993, déclarant irrecevable la req. N° 19898/92, B.C. c / Suisse In Verwaltungspraxis der Bundesbehörden Dans Jurisprudence des autorités administratives de la Confédération In Giurisprudenza delle autorità amministrative della Confederazione Jahr 1994 Année Anno Band 58 Volume Volume Seite --- Page Pagina Ref. No 150 002 000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