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57.4A vom 15. Januar 1992</w:t>
      </w:r>
    </w:p>
    <w:p>
      <w:r>
        <w:t>Bundesverwaltung, 1992-01-15, DE</w:t>
      </w:r>
    </w:p>
    <w:p>
      <w:r>
        <w:rPr>
          <w:b/>
        </w:rPr>
        <w:t xml:space="preserve">Quelle: </w:t>
      </w:r>
      <w:r>
        <w:t>https://mcp.opencaselaw.ch/entscheid/ch_vb_JAAC_57.4A__</w:t>
      </w:r>
    </w:p>
    <w:p>
      <w:r>
        <w:t>FR: CH_VB JAAC 57.4A du 15 janvier 1992</w:t>
      </w:r>
    </w:p>
    <w:p>
      <w:r>
        <w:t>IT: CH_VB JAAC 57.4A del 15 gennaio 1992</w:t>
      </w:r>
    </w:p>
    <w:p>
      <w:pPr>
        <w:pStyle w:val="Heading2"/>
      </w:pPr>
      <w:r>
        <w:t>Erwägungen</w:t>
      </w:r>
    </w:p>
    <w:p>
      <w:r>
        <w:rPr>
          <w:b/>
        </w:rPr>
        <w:t>E. 1</w:t>
      </w:r>
    </w:p>
    <w:p>
      <w:r>
        <w:t>Der Bundesrat hat die V vom 5. März 1990 über die Behandlung von Staatsschutzakten des Bundes (VBS, SR 172.014), eine Rechtsverordnung, aufgrund von Art. 17 Abs. 3 des BG vom 15. Juni 1934 über die Bundesstrafrechtspflege (BStP, SR 312.0) erlassen. Diese Verordnung soll laut ihrem Art. 1 Abs. 1 gewährleisten, dass Personen, über die bei der Bundespolizei Staatsschutzakten angelegt worden sind, ihre Persönlichkeitsrechte wahrnehmen können und gleichwohl die Erfüllung des Staatsschutzauftrages sichergestellt bleibt. In Art. 5 Abs. 2 und Abs. 3 Bst. a-d VBS werden die Grundsätze konkretisiert, nach denen das Einsichtsrecht der Gesuchsteller eingeschränkt werden darf. Von Lehre und Rechtsprechung wird allgemein anerkannt, dass das Einsichtsrecht in Unterlagen des Staatsschutzes in Ausnahmefällen verweigert werden darf, soweit im Einzelfall Geheimhaltungsinteressen des Staatsschutzes oder von Dritten überwiegen (Dubach Alexander, Das Recht auf Akteneinsicht, Zürich 1990, S. 122, BGE 113 Ia 4). Zusammenfassend bildet somit Art. 17 Abs. 3 BStP eine genügende gesetzliche Grundlage zum Erlass der VBS. Zudem entsprechen die darin aufgeführten Einsichts- und Verweigerungsgründe den von Verfassungswegen zu beachtenden Grundsätze der Einsichtsgewährung.</w:t>
      </w:r>
    </w:p>
    <w:p>
      <w:r>
        <w:rPr>
          <w:b/>
        </w:rPr>
        <w:t>E. 2</w:t>
      </w:r>
    </w:p>
    <w:p>
      <w:r>
        <w:t>Schweizerisches Bundesarchiv, Digitale Amtsdruckschriften Archives fédérales suisses, Publications officielles numérisées Archivio federale svizzero, Pubblicazioni ufficiali digitali JAAC 57.4A - Auszug aus einem Entscheid des Bundesrates vom 15. Januar 1992 In Verwaltungspraxis der Bundesbehörden Dans Jurisprudence des autorités administratives de la Confédération In Giurisprudenza delle autorità amministrative della Confederazione Jahr 1993 Année Anno Band 57 Volume Volume Seite --- Page Pagina Ref. No 150 001 817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