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57.41 vom 21. Oktober 1992</w:t>
      </w:r>
    </w:p>
    <w:p>
      <w:r>
        <w:t>Bundesverwaltung, 1992-10-21, DE</w:t>
      </w:r>
    </w:p>
    <w:p>
      <w:r>
        <w:rPr>
          <w:b/>
        </w:rPr>
        <w:t xml:space="preserve">Quelle: </w:t>
      </w:r>
      <w:r>
        <w:t>https://mcp.opencaselaw.ch/entscheid/ch_vb_JAAC_57.41__</w:t>
      </w:r>
    </w:p>
    <w:p>
      <w:r>
        <w:t>FR: CH_VB JAAC 57.41 du 21 octobre 1992</w:t>
      </w:r>
    </w:p>
    <w:p>
      <w:r>
        <w:t>IT: CH_VB JAAC 57.41 del 21 ottobre 1992</w:t>
      </w:r>
    </w:p>
    <w:p>
      <w:pPr>
        <w:pStyle w:val="Heading2"/>
      </w:pPr>
      <w:r>
        <w:t>Erwägungen</w:t>
      </w:r>
    </w:p>
    <w:p>
      <w:r>
        <w:rPr>
          <w:b/>
        </w:rPr>
        <w:t>E. 1</w:t>
      </w:r>
    </w:p>
    <w:p>
      <w:r>
        <w:t>Art. 232 a-d CPM. Grazia. - Il lavoro di pubblico interesse imposto per rifiuto del servizio è una pena sui generis per cui è accordabile la grazia. - La natura penale del lavoro imposto, che può essere ripartito nel tempo ed è connesso con una protezione contro il licenziamento, non costituisce, in quanto tale, un rigore eccessivo. - La regola per stabilire la pena secondo l’art. 81 n. 2 cpv. 2 CPM è stata concepita dal legislatore per i soldati; la sua applicazione a un ufficiale, che ha prestato 680 giorni di servizio, porta, unicamente in ragione della funzione di quadro, a una durata sproporzionatamente lunga del lavoro imposto, durata che costituisce un rigore eccessivo; a titolo di grazia, viene ridotta a una durata che supera in misura appropriata i giorni di servizio rifiutati. I Mit Urteil vom 30. April 1991 hat ein Divisionsgericht I. wegen Dienstverweigerung im Sinne von Art. 81 Ziff. 2 des Militärstrafgesetzes vom 13. Juni 1927 (MStG, [alte Fassung] AS 1968 212) zu einem Monat Gefängnis verurteilt. I. war als Oberleutnant zum Nachhol-Wiederholungskurs vom … nicht eingerückt, weil er aus religiösen und ethischen Gründen das Leisten von Militärdienst nicht mehr mit seinem Gewissen vereinbaren konnte. Der Auditor appellierte gegen dieses Urteil, weil er die ausgesprochene Strafe im Vergleich zu einem aus dem Jahre 1982 stammenden ähnlichen Fall für zu gering erachtete. Das Militärappellationsgericht verurteilte I. am 29. Oktober 1991 in Anwendung von Art. 81 Ziff. 2 MStG (neue Fassung [AS 1991 1352]) zu einer Arbeitsleistung im öffentlichen Interesse von neun Monaten. Eine gegen dieses Urteil gerichtete Kassationsbeschwerde wies das Militärkassationsgericht mit Urteil vom 20. März 1992 ab. II Am 11. Juni 1992 unterbreitet der amtliche Verteidiger von I. ein Begnadigungsgesuch mit dem Antrag, es sei die I. auferlegte Arbeitsleistung im öffentlichen Interesse ganz oder bis auf einen Rest von zwei Monaten zu erlassen. Der Verteidiger macht geltend, die Arbeitsleistung von neun Monaten stelle für seinen Klienten subjektiv insbesondere deshalb eine ausserordentliche Härte dar, weil er mit grosser Wahrscheinlichkeit seinen Arbeitsplatz verlieren würde. Es sei auch schwer einfühlbar, dass sich die Änderung des Militärstrafgesetzes für I., dem alle Gerichtsinstanzen eine aufrichtige</w:t>
      </w:r>
    </w:p>
    <w:p>
      <w:r>
        <w:rPr>
          <w:b/>
        </w:rPr>
        <w:t>E. 2</w:t>
      </w:r>
    </w:p>
    <w:p>
      <w:r>
        <w:t>Im weiteren ist zu prüfen, ob der Vollzug der gegen I. ausgesprochenen Verpflichtung zur Arbeitsleistung von neun Monaten im konkreten Fall eine unangemessene Härte bedeuten würde. Der Verteidiger von I. sieht eine solche einerseits in der Strafart, andererseits aber - und dies zur Hauptsache - in der Strafdauer. a. In der Strafart kann zum vornherein keine unbillige Härte erblickt werden. Auch wenn I. noch als Offizier Militärdienst leisten müsste, wäre er durch Dienstleistungen während 115 Tagen im Landwehralter und (wenigstens formell) 69 Tagen im Landsturmalter, also insgesamt während rund 6 Monaten vom Arbeitsplatz getrennt. Allerdings würden diese Dienstleistungen jeweils wenige Wochen betragen und sich auf einen relativ grossen Zeitraum verteilen, doch kann nach Art. 6 der V vom 1. Juli 1992 über die Arbeitsleistung infolge Militärdienstverweigerung (VAL, SR 824.1) auch die Arbeitsleistung (wenn auch nur höchstens auf sechs Jahre) aufgeteilt werden. Die Einsatzdauer pro Jahr ist demnach zwar bei einer Arbeitsleistung länger, als beim Militärdienst, erscheint jedoch deswegen allein nicht als unbillige Härte. Sie ist bedingt durch das mit der Strafzumessungsregel verbundene Element des Tatbeweises und durch den Umstand, dass Strafen grundsätzlich</w:t>
      </w:r>
    </w:p>
    <w:p>
      <w:r>
        <w:rPr>
          <w:b/>
        </w:rPr>
        <w:t>E. 3</w:t>
      </w:r>
    </w:p>
    <w:p>
      <w:r>
        <w:t>rasch zu vollziehen sind. Zu beachten ist in diesem Zusammenhang übrigens die Tatsache, dass gemäss Art. 24 VAL zugunsten des Arbeitspflichtigen ein Kündigungsschutz besteht. b. Die Gesamtdauer der Arbeitsleistung von neun Monaten wird von I. als unangemessene Härte betrachtet, weil er nach einer klaglos erfüllten Dienstleistung von 680 Tagen, also mehr als dem Doppelten der Dienstleistungspflicht eines Soldaten, nun zu einer Arbeitsleistung verpflichtet wurde, bei deren Bemessung von den Grundsätzen ausgegangen worden sei, die für Soldaten gelten. Tatsächlich hat das Militärkassationsgericht die vom Militärappellationsgericht nach der Regel des Art. 81 Ziff. 2 Abs. 2 MStG berechnete Dauer des Arbeitsdienstes bestätigt mit der Überlegung, bereits geleisteter Militärdienst sei (nur) insoweit zu berücksichtigen, als sich damit die Dauer des verweigerten Militärdienstes verkürze. Das Gericht übersah dabei nicht, dass sich aus der Anwendung der Regel auf Offiziere (bei Unteroffizieren stellt sich, wenn auch weniger akzentuiert, das gleiche Problem) Härten ergeben können. Es hielt jedoch dafür, diese Härten seien nicht derart stossend, dass sich die Annahme einer Gesetzeslücke (die der Richter schliessen könnte) rechtfertigen würde. Es führte in diesem Zusammenhang aus, es möge zutreffen, dass der Gesetzgeber bei der Formulierung der Zumessungsregelung nicht in erster Linie an die Dienstverweigerung von Offizieren dachte. Es rechtfertigt sich, der Frage nachzugehen, ob und allenfalls inwieweit der Gesetzgeber tatsächlich bei der Formulierung der Regel von Art. 81 Ziff. 2 Abs. 2 MStG nicht an die Dienstverweigerung von Kaderangehörigen der Armee gedacht hat. Eine Durchsicht der Gesetzesmaterialien ergibt in dieser Hinsicht ein klares Bild: - In der Kommission des Nationalrates äusserte sich Bundesrat Koller wie folgt: «Wenn wir eine neue eigene Sanktion einführen, müssen wir aus Gründen der Wehrgerechtigkeit deren Dauer daran messen, was die normalen Wehrpflichtigen leisten. Ein Wehrpflichtiger leistet in unserem Lande mindestens ein Jahr Militärdienst.» - Bei der Behandlung des Geschäftes im Nationalrat (Amtl. Bull. 1989 N 2196) erklärte der Berichterstatter der Kommission zur Dauer des Arbeitsdienstes, «… dass die Kommission und der Bundesrat davon ausgingen, dass ein Schweizer Soldat zwischen dem 20. und dem 50. Altersjahr etwa zwölf Monate Militärdienst zu leisten hat, und von dort her ergibt sich auch der Faktor für die Dauer des Arbeitsdienstes.» - In der Militärkommission des Ständerates erklärte Ständerat Gadient: «Es sind etwa zwölf Monate Militärdienst, die man vom 20. bis zum 50. Altersjahr absolvieren muss. Das ist mindestens ein Faktum für die Bestimmung der Dauer der Arbeitsleistung». - Sinngemäss gleich äusserte sich der Berichterstatter der Militärkommission des Ständerates im Plenum an der Sitzung vom 26. September 1990 (Amtl. Bull. 1990 S 717). Die Problematik der differenzierten Dienstpflicht für verschiedene Angehörige der Armee, insbesondere auch Kader, warf zwar Ständerat Schoch auf (Amtl. Bull. 1990 S. 718), dies allerdings bezogen auf einen vom Ständerat in der Folge abgelehnten Minderheitsantrag, wonach generell der</w:t>
      </w:r>
    </w:p>
    <w:p>
      <w:r>
        <w:rPr>
          <w:b/>
        </w:rPr>
        <w:t>E. 4</w:t>
      </w:r>
    </w:p>
    <w:p>
      <w:r>
        <w:t>I. lässt durch seinen Verteidiger beantragen, es sei ihm die Arbeitsleistung ganz oder zumindest bis auf einen Rest von zwei Monaten zu erlassen; in der Gesuchsbegründung wird auch auf die Möglichkeit des Erlasses bis auf 115 oder 184 Tage hingewiesen. Ein Erlass der Arbeitsleistung über das Mass der verweigerten 184 Diensttage hinaus fällt zum vornherein ausser Betracht, weil der Gesuchsteller damit für seine auch unter dem neuen Recht strafbare Handlung im Vergleich zu anderen Offizieren quasi privilegiert würde. Er macht übrigens zu Recht auch nicht geltend, eine Arbeitsleistung in diesem Umfang würde für ihn eine unbillige besondere Härte bedeuten. Ferner darf nicht ausser Acht bleiben, dass das im nun geltenden Gesetz enthaltene Element des Tatbeweises nicht auf dem über eine Begnadigung eliminiert werden darf, falls nicht besondere Gründe in der Person des Gesuchstellers vorliegen. Solche sind im vorliegenden Fall nicht gegeben. Schliesslich ist zu Gunsten des Gesuchstellers der mit seiner Kaderfunktion verbundene Umstand zu berücksichtigen, dass die Leistung eines Arbeitsdienstes von längerer Dauer einen älteren, fest im Berufsleben integrierten Dienstverweigerer härter trifft, als einen 20jährigen, der beispielsweise soeben seine Lehre abgeschlossen hat oder vor dem Beginn</w:t>
      </w:r>
    </w:p>
    <w:p>
      <w:r>
        <w:rPr>
          <w:b/>
        </w:rPr>
        <w:t>E. 5</w:t>
      </w:r>
    </w:p>
    <w:p>
      <w:r>
        <w:t>seines Studiums steht. Werden alle diese Umstände in Betracht gezogen, so scheint es angemessen, die Dauer der Arbeitsdienstleistung, zu welcher der Gesuchsteller verpflichtet wurde, gnadenweise auf 200 Tage zu reduzieren.</w:t>
      </w:r>
    </w:p>
    <w:p>
      <w:r>
        <w:rPr>
          <w:b/>
        </w:rPr>
        <w:t>E. 6</w:t>
      </w:r>
    </w:p>
    <w:p>
      <w:r>
        <w:t>Schweizerisches Bundesarchiv, Digitale Amtsdruckschriften Archives fédérales suisses, Publications officielles numérisées Archivio federale svizzero, Pubblicazioni ufficiali digitali JAAC 57.41 - Entscheid des Bundesrates vom 21. Oktober 1992 In Verwaltungspraxis der Bundesbehörden Dans Jurisprudence des autorités administratives de la Confédération In Giurisprudenza delle autorità amministrative della Confederazione Jahr 1993 Année Anno Band 57 Volume Volume Seite --- Page Pagina Ref. No 150 001 790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