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57.29 vom 16. Oktober 1992</w:t>
      </w:r>
    </w:p>
    <w:p>
      <w:r>
        <w:t>Bundesverwaltung, 1992-10-16, DE</w:t>
      </w:r>
    </w:p>
    <w:p>
      <w:r>
        <w:rPr>
          <w:b/>
        </w:rPr>
        <w:t xml:space="preserve">Quelle: </w:t>
      </w:r>
      <w:r>
        <w:t>https://mcp.opencaselaw.ch/entscheid/ch_vb_JAAC_57.29__</w:t>
      </w:r>
    </w:p>
    <w:p>
      <w:r>
        <w:t>FR: CH_VB JAAC 57.29 du 16 octobre 1992</w:t>
      </w:r>
    </w:p>
    <w:p>
      <w:r>
        <w:t>IT: CH_VB JAAC 57.29 del 16 ottobre 1992</w:t>
      </w:r>
    </w:p>
    <w:p>
      <w:pPr>
        <w:pStyle w:val="Heading2"/>
      </w:pPr>
      <w:r>
        <w:t>Erwägungen</w:t>
      </w:r>
    </w:p>
    <w:p>
      <w:r>
        <w:rPr>
          <w:b/>
        </w:rPr>
        <w:t>E. 1</w:t>
      </w:r>
    </w:p>
    <w:p>
      <w:r>
        <w:t>Revisionsverfahren im Asylbereich. Art. 11 Abs. 2 AsylG. Zuständigkeit der ARK. Seit dem 1. April 1992 ist die ARK zuständig zur Beurteilung von Revisionsbegehren bezüglich der Entscheide des EJPD, welche vor diesem Datum ergangen sind (E. 1). Art. 32 Abs. 1 VwVG. Ausmass der Begründung. Die entscheidende Instanz ist nicht gehalten, zu sämtlichen Elementen der Parteivorbringen Stellung zu nehmen, sondern lediglich zu denjenigen, welche ausdrücklich geltend gemacht werden und die für den Ausgang des Verfahrens massgebend sind (E. 4. b). Art. 66 Abs. 2 VwVG. Neue Beweiswürdigung. Mit der Revision kann nicht verlangt werden, dass die ARK als Revisionsinstanz eine neue Beweiswürdigung bezüglich der von der Beschwerdeinstanz erhobenen Tatsachen vornimmt (E. 4.c, 5). Art. 14a ANAG. Verhalten des Asylbewerbers während seines Aufenthaltes in der Schweiz. Sofern die Prüfung der Voraussetzungen dieser Bestimmung zum Schluss führt, dass der Vollzug der Wegweisung nicht auf unüberwindbare technische Schwierigkeiten stösst, keine völkerrechtlichen Verpflichtungen der Schweiz verletzt und für den Bewerber keine konkrete Gefährdung darstellt, ist das Verhalten eines Asylbewerbers während seines Aufenthaltes in der Schweiz ohne Bedeutung; dieses Kriterium ist vom Gesetzgeber lediglich in einer abschließenden Anzahl von Bestimmungen für den Fall eines besonders schlechten Verhaltens von Gesuchstellern vorgesehen (E. 7). Procedura di revisione in materia d’asilo. Art. 11 cpv. 2 LA. Competenza della CRA. A partire dal 1° aprile 1992 la CRA è competente a statuire sulle domande di revisione presentate contro le decisioni emanate prima di tale data dal DFGP (consid. 1). Art. 32 cpv. 1 PA. Ampiezza della motivazione. L’autorità giudicante non ha l’obbligo di esaminare tutte le allegazioni in fatto e in diritto presentate dalle parti, ma unicamente quelle evocate in modo chiaro e determinanti per l’esito della procedura (consid. 4.b). Art. 66 cpv. 2 PA. Nuovo apprezzamento dei fatti. Con la revisione non può essere chiesto che la CRA, in quanto autorità di ricorso, faccia un nuovo apprezzamento delle prove in merito ai fatti allegati dall’istanza di ricorso (consid. 4.c, 5). Art. 14a LDDS. Comportamento di un richiedente l’asilo durante il soggiorno in Svizzera.</w:t>
      </w:r>
    </w:p>
    <w:p>
      <w:r>
        <w:rPr>
          <w:b/>
        </w:rPr>
        <w:t>E. 2</w:t>
      </w:r>
    </w:p>
    <w:p>
      <w:r>
        <w:t>(Questions formelles)</w:t>
      </w:r>
    </w:p>
    <w:p>
      <w:r>
        <w:rPr>
          <w:b/>
        </w:rPr>
        <w:t>E. 3</w:t>
      </w:r>
    </w:p>
    <w:p>
      <w:r>
        <w:t>En ce qui concerne l’étendue de la motivation, doctrine et jurisprudence admettent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Il faut, en d’autres termes, qu’il ressorte de l’ensemble de la motivation, avec une clarté suffisante, pour quelles raisons l’autorité ne tient pas des arguments pour décisifs (cf. Mark E. Villiger, Die Pflicht zur Begründung von Verfügungen, Schweizerisches Zentralblatt für Staats- und Verwaltungsrecht [ZBl] 4/1989, p. 139 ss; Grisel, op. cit., vol. I, p. 387 et vol. II, p. 840 ss; Max Imboden / René A. Rhinow, Verwaltungsrechtsprechung, 6e éd., Bâle/Stuttgart 1986, n° 82 B III, IV et V; Arthur Haefliger, Alle Schweizer sind vor dem Gesetze gleich, Berne 1985, p. 147 s.; Thomas Cottier, Der Anspruch auf rechtliches Gehör, recht 1984, n° 4, p. 126 s.; Semaine judiciaire [SJ] 1989 n° 6, p. 109 et 1987 n° 39, p. 647 s.; ATF 112 Ia 107 et références citées; JAAC 46.54 et références citées). La décision du 27 novembre 1991 rendue par le DFJP répond à cette exigence. En prenant en considération notamment le défaut d’éléments concrets à l’appui des déclarations et l’absence de toute activité politique du recourant, mais également l’énoncé de motifs d’asile diamétralement opposés, l’impossibilité de sanctionner le refus d’assumer la charge de gardien de village faute de base légale, ainsi que le départ de Turquie de la recourante, en possession d’un passeport authentique, et après avoir été contrôlée par les autorités étatiques, le DFJP a clairement indiqué les raisons pour lesquelles les divers arguments développés par les époux concernés n’étaient pas décisifs. c. Les requérants estiment cependant que des arguments importants n’ont pas été examinés. Il s’agit, en premier lieu, de l’argument relatif à la particularité de la procédure en vigueur en 1983 (ordonnance sur l’asile du 12 novembre 1980, RO 1980 1730), particularité qui expliquerait les divergences entre les déclarations faites par C.A. à cette époque et celles qu’il a faites plus tard. Ces différences tiennent en ce que C.A. a déclaré lors de son audition cantonale du 17 novembre 1983 être venu en Suisse en raison de conflits existant entre clans opposés alors qu’il a affirmé, lors de son audition du 16 février 1989, avoir été arrêté cinq à six fois entre 1977 et 1982. Il s’agit, ensuite, de l’argument qui a trait à l’existence de persécutions à l’encontre de tout Kurde (et donc des intéressés eux-mêmes) en raison de la seule appartenance à une minorité ethnique. Il s’agit, enfin, des explications très détaillées fournies par I.A. dans son recours au sujet des persécutions dont elle dit avoir été l’objet, explications que le DFJP a écartées en un seul paragraphe et sans se déterminer à ce sujet. En ce qui concerne la procédure en vigueur en 1983, les constatations suivantes s’imposent: lorsque la demande d’asile était déposée dans le pays (cf. anciens art. 14 LA [RO 1980 1718 ss] et art. 6 de l’ordonnance sur l’asile du 12 novembre 1980 précitée), la procédure comprenait deux phases: le requérant présentait d’abord sa demande à l’autorité du canton dans lequel il possédait une autorisation de résidence ou, s’il n’en avait pas, à l’autorité du canton dans lequel il séjournait. Celui-ci enregistrait la demande au nom de la</w:t>
      </w:r>
    </w:p>
    <w:p>
      <w:r>
        <w:rPr>
          <w:b/>
        </w:rPr>
        <w:t>E. 4</w:t>
      </w:r>
    </w:p>
    <w:p>
      <w:r>
        <w:t>Confédération, constatait les faits à l’intention de l’Office fédéral de la police (OFP), procédait à l’audition du requérant et avisait l’OFP dans les dix jours qu’une demande avait été déposée (cf. ancien art. 15 LA). Ce dernier, dans une deuxième phase, entendait le requérant en personne (cf. ancien art. 16 al. 2 LA) et statuait sur la requête, au besoin après avoir complété les faits ou les auditions et procédé à toute vérification appropriée (cf. Message du Conseil fédéral du 31 août 1977 à l’appui d’une loi sur l’asile et d’un arrêté fédéral concernant une réserve à la convention relative au statut de réfugié, FF 1977 III 131). La directive n° 1 du DFJP du 10 décembre 1980 précisait, en son point 1.7 que: «l’autorité cantonale entend le requérant en se fondant sur le schéma prévu par l’office fédéral qui comprend les questions les plus importantes qui doivent être posées au requérant. Les motifs invoqués à l’appui de la demande seront en particulier mentionnés de manière détaillée.» Selon le schéma d’audition, le requérant devait «indiquer sans équivoque et d’une manière claire tous les motifs» qui l’avaient amené à fuir, l’autorité cantonale étant chargée, cas échéant, d’inviter l’intéressé à s’exprimer d’une manière plus concrète, par des questions appropriées, afin de pouvoir déterminer si le requérant rendait vraisemblable qu’il était exposé personnellement à de sérieux préjudices ou craignait de l’être. Ainsi, l’audition cantonale ne portait pas essentiellement sur l’identité et la situation personnelle du requérant mais également sur ses motifs d’asile, celui-ci étant invité à les indiquer précisément et intégralement. Au terme de l’audition, il lui était donné connaissance de ses déclarations, au besoin par l’intermédiaire d’un interprète. Par sa signature apposée sur le procès-verbal, il confirmait notamment que tous ses motifs d’asile avaient été mentionnés. Tel fut le cas en l’occurrence. Dans ces conditions, il est exclu d’admettre que les divergences relevées plus haut proviennent de la conception de l’audition cantonale telle qu’elle était prévue par le système en vigueur en 1983 et les explications fournies à ce sujet sont sans fondement. Que le DFJP n’ait pas discuté cet allégué du recours dans sa décision du 27 novembre 1991, se limitant à constater que les motifs d’asile concernant une même période de vie étaient diamétralement opposés, n’est pas sujet à critiques. S’agissant de l’argument tiré de l’appartenance des intéressés à l’ethnie kurde, il n’avait pas à être examiné par le DFJP car à aucun moment les recourants n’avaient allégué que les «persécutions étatiques» avaient précisément pour origine leur appartenance à la minorité précitée. Indépendamment de cela, le fait d’être Kurde n’est en soi suffisant ni pour la reconnaissance de la qualité de réfugié ni pour l’octroi de l’asile. Celui qui s’en prévaut doit encore pouvoir rendre vraisemblable une crainte fondée de persécution, voire de menaces touchant sa propre personne, sauf à admettre que tous les membres d’une catégorie de gens généralement visés par la persécution pourraient obtenir la protection découlant de l’octroi de l’asile. Cette exigence restrictive tend à prévenir l’acquisition d’une telle protection de manière systématique et automatique. En tant qu’elle n’est pas incohérente par rapport à la lettre et au sens de la loi, elle se justifie pleinement. Cela dit, force est de constater que C.A. a refusé une charge de protecteur de village que lui avait offerte X., un personnage influent de la région (l’agha), alors qu’il travaillait pour lui et ce, en raison des problèmes que lui aurait</w:t>
      </w:r>
    </w:p>
    <w:p>
      <w:r>
        <w:rPr>
          <w:b/>
        </w:rPr>
        <w:t>E. 5</w:t>
      </w:r>
    </w:p>
    <w:p>
      <w:r>
        <w:t>Les époux A. font valoir de surcroît, qu’au vu de leurs déclarations, les risques auxquels ils seraient susceptibles d’être exposés en cas de retour en Turquie n’auraient pas été examinés avec toute l’attention voulue. En cela, les intéressés tentent d’imposer une nouvelle appréciation des faits qui ressortent du dossier, ce qu’exclut - comme indiqué plus haut à propos du grief tiré du refus de la charge de gardien de village - l’institution de la révision. Pareille</w:t>
      </w:r>
    </w:p>
    <w:p>
      <w:r>
        <w:rPr>
          <w:b/>
        </w:rPr>
        <w:t>E. 6</w:t>
      </w:r>
    </w:p>
    <w:p>
      <w:r>
        <w:t>La demande de révision est encore motivée par le fait que le DFJP aurait tenu compte d’une pièce soustraite à consultation et qui aurait été utilisée au désavantage du recourant sans qu’il lui soit donné l’occasion de s’exprimer à son sujet. Dans le cadre de l’examen de la question du renvoi, le DFJP, prenant en considération un rapport de police, a effectivement souligné que le recourant avait donné lieu à une intervention de la police valaisanne en date du</w:t>
      </w:r>
    </w:p>
    <w:p>
      <w:r>
        <w:rPr>
          <w:b/>
        </w:rPr>
        <w:t>E. 10</w:t>
      </w:r>
    </w:p>
    <w:p>
      <w:r>
        <w:t>octobre 1991 (appropriation d’objet trouvé, subsidiairement vol), ce qui indiquait qu’il n’était point désireux de s’adapter aux normes et coutumes du pays auquel pourtant il avait demandé aide et assistance pour lui-même et sa famille. Si le DFJP estimait que l’interpellation du recourant avait une quelconque influence sur la décision de renvoi qu’il était appelé à rendre en dernière instance, il aurait dû, conformément à l’art. 28 PA, en donner connaissance à l’intéressé et, en outre, lui donner l’occasion de s’exprimer. Tel n’a cependant pas été le cas; il y a donc bien eu informalité. Les conséquences de celle-ci ne sont toutefois pas de nature à influer sur l’issue de la présente demande car le renvoi, dans son principe, était déjà acquis en vertu de l’art. 17 al. 1er LA dans la mesure où les recourants ne pouvaient se prévaloir d’un droit à l’octroi d’une autorisation de séjour. 7. Quant à l’exécution de ce renvoi, le fait de conforter sa légitimité sur la base du mauvais comportement du recourant en Suisse se révèle superflu tant il est vrai qu’un comportement, même irréprochable, ne joue aucun rôle lorsque l’examen des dispositions de l’art. 14a al. 2 à 4 de la LF du 26 mars 1931 sur le séjour et l’établissement des étrangers (LSEE, RS 142.20) aboutit à la conclusion que l’exécution s’avère possible, licite et raisonnablement exigible, autrement dit qu’elle ne se heurte pas à des obstacles insurmontables d’ordre technique, ne transgresse aucune obligation prise par la Suisse en droit international public et ne présente pas de danger concret pour l’intéressé. Dans cette hypothèse, et eu égard aux critères d’examen qu’impose l’application des dispositions précitées, l’attitude du recourant, quelle qu’elle soit, n’a pas d’influence sur la question de l’exécution du renvoi. Tel est le cas en l’espèce. Certes, la législation suisse applicable dans le domaine de l’asile retient le critère du comportement du requérant, mais uniquement lorsque l’intéressé s’est particulièrement mal conduit, dans un certain nombre de dispositions prévues de manière exhaustive. Ainsi, il constitue un empêchement d’ordre personnel à l’octroi de l’asile si le requérant peut être qualifié d’indigne (cf. art. 8 LA). Par ailleurs, en matière de renvoi, soit il lève un obstacle à son exécution en tant qu’il constitue une exception au principe du non-refoulement (cf. art. 45 al. 2 LA), soit en efface le caractère déraisonnablement exigible (cf. art. 14a al. 6 LSEE). 8. Les intéressés reprochent enfin au DFJP d’avoir affirmé que le recourant avait pu rentrer en Turquie «sans ambages ni difficultés particulières» et qu’il en était reparti d’identique manière le 30 juillet 1988. 7</w:t>
      </w:r>
    </w:p>
    <w:p>
      <w:r>
        <w:t>L’appréciation faite par l’autorité précitée est abrupte et ne reflète pas les allégations du recourant. En effet, il s’avère que l’intéressé n’aurait pu rejoindre sa famille en Turquie qu’en «payant grassement un policier des douanes» et qu’il serait reparti de son pays d’origine «caché sous une caravane». Semblable méprise, au vu de l’ensemble des motifs sur lesquels repose la décision départementale, ne saurait toutefois modifier de façon décisive l’appréciation portée par le DFJP sur la vraisemblance des préjudices dont a fait état l’intéressé à l’appui de sa demande d’asile. Comme relevé précédemment, l’argument tiré de la mauvaise appréciation des allégations ne constitue pas un motif de révision. En conséquence, le reproche, bien que fondé, n’apparaît pas déterminant. 8</w:t>
      </w:r>
    </w:p>
    <w:p>
      <w:r>
        <w:t>Schweizerisches Bundesarchiv, Digitale Amtsdruckschriften Archives fédérales suisses, Publications officielles numérisées Archivio federale svizzero, Pubblicazioni ufficiali digitali JAAC 57.29 - Extrait d'une décision de la Commission suisse de recours en matière d'asile du 16 octobre 1992 In Verwaltungspraxis der Bundesbehörden Dans Jurisprudence des autorités administratives de la Confédération In Giurisprudenza delle autorità amministrative della Confederazione Jahr 1993 Année Anno Band 57 Volume Volume Seite --- Page Pagina Ref. No 150 001 748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