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55.7 vom 2. Mai 1990</w:t>
      </w:r>
    </w:p>
    <w:p>
      <w:r>
        <w:t>Bundesverwaltung, 1990-05-02, DE</w:t>
      </w:r>
    </w:p>
    <w:p>
      <w:r>
        <w:rPr>
          <w:b/>
        </w:rPr>
        <w:t xml:space="preserve">Quelle: </w:t>
      </w:r>
      <w:r>
        <w:t>https://mcp.opencaselaw.ch/entscheid/ch_vb_JAAC_55.7__</w:t>
      </w:r>
    </w:p>
    <w:p>
      <w:r>
        <w:t>FR: CH_VB JAAC 55.7 du 2 mai 1990</w:t>
      </w:r>
    </w:p>
    <w:p>
      <w:r>
        <w:t>IT: CH_VB JAAC 55.7 del 2 maggio 1990</w:t>
      </w:r>
    </w:p>
    <w:p>
      <w:pPr>
        <w:pStyle w:val="Heading2"/>
      </w:pPr>
      <w:r>
        <w:t>Erwägungen</w:t>
      </w:r>
    </w:p>
    <w:p>
      <w:r>
        <w:rPr>
          <w:b/>
        </w:rPr>
        <w:t>E. 1</w:t>
      </w:r>
    </w:p>
    <w:p>
      <w:r>
        <w:t>… … Die Polizeikommission führte in ihrem Antrag auf Erlass des Parkierungsverbots aus, dass bei einem Brandfall in der betreffenden Strasse vom 18. August 1986 dem ausgerückten Feuerwehrfahrzeug die Durchfahrt von der Oberdorfstrasse her nicht möglich gewesen sei, weil vor der Abschrankung ein Personenwagen parkiert war. Die Feuerwehr habe einen Umweg in Kauf nehmen müssen, um an den Brandort zu gelangen. Um Rettungsfahrzeugen die Durchfahrt jederzeit zu gewährleisten, müsse das Parkieren dort untersagt werden. Diese Ausführungen zeigen, dass die Beschwerdeführerin ein genügendes Interesse daran hat, die umstrittene Verkehrsanordnung vom Bundesrat überprüfen zu lassen. Der Gemeinde T. ist daher das Beschwerderecht zuzuerkennen[47]. …</w:t>
      </w:r>
    </w:p>
    <w:p>
      <w:r>
        <w:rPr>
          <w:b/>
        </w:rPr>
        <w:t>E. 2</w:t>
      </w:r>
    </w:p>
    <w:p>
      <w:r>
        <w:t>…</w:t>
      </w:r>
    </w:p>
    <w:p>
      <w:r>
        <w:rPr>
          <w:b/>
        </w:rPr>
        <w:t>E. 3</w:t>
      </w:r>
    </w:p>
    <w:p>
      <w:r>
        <w:t>dieses Dorfteils dient. Daran ändert nichts, dass darauf Zweiradfahrzeuge verkehren dürfen, da erfahrungsgemäss die Erschliessung eines Quartiers in erster Linie mit Motorwagen erfolgt. Es kann sich darum nur fragen, ob das umstrittene Verbot notwendig ist, um die Durchfahrt im Notfall sicherzustellen. Dabei ist zu bedenken, dass sich zwischen beiden Enden des betreffenden Strassenabschnitts lediglich die Liegenschaft von B. befindet, die von der nördlichen Seite her jederzeit erschlossen werden kann. Der weiter südlich gelegene Teil der betreffenden Strasse ist von anderen Strassen her erreichbar. Das räumt denn auch die Rekurrentin ein. (…) Aufgrund der Akten lässt sich nicht mit Sicherheit feststellen, ob vom Werkhof (Feuerwehrdepot) aus die Strecke über die anderen Strassen kürzer ist, um in den südlichen Teil der betreffenden Strasse zu gelangen, als jene über den nördlichen Teil der betreffenden Strasse. Anhand des Ortsplanes ist anzunehmen, dass beide Strecken etwa gleich lang sind. Wesentlich erscheint nun, dass die anderen Strassen besser ausgebaut sind als der nördliche Teil der betreffenden Strasse und im Einmündungsbereich ein Parkverbot besteht, das die Einfahrt in die letztgenannte Strasse ohne Behinderung ermöglicht. Ausserdem weist die Vorinstanz zutreffend darauf hin, dass auf dem schmalen nördlichen Teil der betreffenden Strasse mit Behinderungen wegen entgegenkommender oder haltender Fahrzeuge (Güterumschlag, Kehrichtabfuhr usw.) zu rechnen ist. Es mag sein, dass die Lenker solcher Fahrzeuge innert nützlicher Frist den Weg freigeben können. Ein Zeitverlust entsteht indessen allemal. Schliesslich ist auch die zeitliche Verzögerung beim Öffnen der Schranke zu beachten. Aus diesen Darlegungen erhellt, dass die Zufahrt über die anderen Strassen im Vergleich zu jener über den nördlichen Teil der betreffenden Strasse mindestens als gleichwertig anzusehen ist. Daraus folgt, dass die Gemeinde nicht auf die Durchfahrt angewiesen ist. Bei dieser Sachlage durfte der Regierungsrat die den Anwohnern durch das umstrittene Parkierungsverbot entstehenden - zugegebenermassen nicht sehr schwerwiegenden - Nachteile ebenfalls in Rechnung stellen. … Die Vorinstanz verkannte keineswegs, dass ein Anwohner keinen Anspruch darauf hat, sein Fahrzeug auf öffentlichem Grund abzustellen. Die Aufhebung des Parkierungsverbots bewirkt bloss, dass dort jedermann unter Einhaltung der allgemeinen Verkehrsregeln sein Fahrzeug abstellen kann. Dass dies in erster Linie der Wagen von B. ist, beruht auf tatsächlichen örtlichen Gegebenheiten und nicht auf einer rechtlichen Vorzugsstellung. Der Hinweis auf den gesteigerten Gemeingebrauch ist hier unbehelflich, da diese Frage nicht Gegenstand des angefochtenen Entscheids bildete. Die Beschwerdeführerin hat das Parkierungsverbot denn auch nur deshalb verlangt, um die Durchfahrt für Notfallwagen zu gewährleisten, nicht jedoch, um den gesteigerten Gemeingebrauch zu verhindern. Im übrigen bleibt es der zuständigen Behörde unbenommen, dieses Problem anzugehen, wobei allerdings zu prüfen wäre, ob die angestrebte Lösung - wie auch immer sie ausfällt - für das ganze Gemeindegebiet zu gelten hätte. Zusammenfassend ist festzuhalten, dass die Rekurrentin nicht darauf angewiesen ist, den umstrittenen Strassenabschnitt mit gemeindeeigenen Fahrzeugen zu befahren, da auf andern Strassen eine gleichwertige Zufahrtsmöglichkeit besteht. Unter diesen Umständen erweist sich die Aufhebung des angefochtenen Parkierungsverbots durch den Regierungsrat als haltbar. Diese Wertung berücksichtigt, dass der Bundesrat</w:t>
      </w:r>
    </w:p>
    <w:p>
      <w:r>
        <w:rPr>
          <w:b/>
        </w:rPr>
        <w:t>E. 4</w:t>
      </w:r>
    </w:p>
    <w:p>
      <w:r>
        <w:t>der letzten kantonalen Beschwerdeinstanz bei der Beurteilung von Verkehrsmassnahmen einen weiten Ermessensspielraum zugesteht. Ob eine weniger weitgehende Massnahme das angestrebte Ziel ebenfalls zu erreichen vermöchte, braucht auch deshalb nicht geprüft zu werden, weil es selbst nach Ansicht der Beschwerdeführerin eine solche nicht gibt. Der Regierungsrat hat folglich Bundesrecht, namentlich Art. 3 Abs. 4 SVG und den Verhältnismässigkeitsgrundsatz,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