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54.9 vom 12. April 1989</w:t>
      </w:r>
    </w:p>
    <w:p>
      <w:r>
        <w:t>Bundesverwaltung, 1989-04-12, DE</w:t>
      </w:r>
    </w:p>
    <w:p>
      <w:r>
        <w:rPr>
          <w:b/>
        </w:rPr>
        <w:t xml:space="preserve">Quelle: </w:t>
      </w:r>
      <w:r>
        <w:t>https://mcp.opencaselaw.ch/entscheid/ch_vb_JAAC_54.9__</w:t>
      </w:r>
    </w:p>
    <w:p>
      <w:r>
        <w:t>FR: CH_VB JAAC 54.9 du 12 avril 1989</w:t>
      </w:r>
    </w:p>
    <w:p>
      <w:r>
        <w:t>IT: CH_VB JAAC 54.9 del 12 aprile 1989</w:t>
      </w:r>
    </w:p>
    <w:p>
      <w:pPr>
        <w:pStyle w:val="Heading2"/>
      </w:pPr>
      <w:r>
        <w:t>Erwägungen</w:t>
      </w:r>
    </w:p>
    <w:p>
      <w:r>
        <w:rPr>
          <w:b/>
        </w:rPr>
        <w:t>E. 1</w:t>
      </w:r>
    </w:p>
    <w:p>
      <w:r>
        <w:t>I Die Polizeidirektion des Kantons Zürich dehnte am 16. April 1985 das auf einem Teilstück einer Strasse bestehende Parkverbot auf den ganzen Strassenzug bis zu dessen Verzweigung aus. Diese Verfügung hob sie aufgrund eines Rekurses am 25. November 1986 wiedererwägungsweise auf und ordnete gleichzeitig zwischen den Liegenschaften Nrn. 7/9 und 72 am nordwestlichen Fahrbahnrand die Markierung von Parkfeldern für insgesamt zehn Personenwagen gemäss Vormarkierungen an. Gegen diese Verfügung beschwerte sich X beim Regierungsrat des Kantons Zürich. Er beantragte die Aufhebung von zwei Parkfeldern auf der gegenüberliegenden Seite seiner Liegenschaft. Der Regierungsrat trat auf die Beschwerde mit Entscheid vom 24. Februar 1988 nicht ein. Diesen Entscheid ficht X beim Bundesrat an… . II …</w:t>
      </w:r>
    </w:p>
    <w:p>
      <w:r>
        <w:rPr>
          <w:b/>
        </w:rPr>
        <w:t>E. 4</w:t>
      </w:r>
    </w:p>
    <w:p>
      <w:r>
        <w:t>Der Beschwerdeführer wohnt auf der gegenüberliegenden Seite der umstrittenen Parkfelder an der betreffenden Strasse 14. Er ist deshalb entgegen der Meinung der Vorinstanz von der angefochtenen Verkehrsanordnung offensichtlich betroffen. Ob indessen seine Einwände stichhaltig sind, ist nicht eine Frage des Eintretens, sondern eine solche der materiellen Beurteilung. Zusammenfassend ist festzuhalten, dass die Vorinstanz zu Unrecht nicht auf die Beschwerde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