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54.29 vom 28. Juni 1989</w:t>
      </w:r>
    </w:p>
    <w:p>
      <w:r>
        <w:t>Bundesverwaltung, 1989-06-28, DE</w:t>
      </w:r>
    </w:p>
    <w:p>
      <w:r>
        <w:rPr>
          <w:b/>
        </w:rPr>
        <w:t xml:space="preserve">Quelle: </w:t>
      </w:r>
      <w:r>
        <w:t>https://mcp.opencaselaw.ch/entscheid/ch_vb_JAAC_54.29__</w:t>
      </w:r>
    </w:p>
    <w:p>
      <w:r>
        <w:t>FR: CH_VB JAAC 54.29 du 28 juin 1989</w:t>
      </w:r>
    </w:p>
    <w:p>
      <w:r>
        <w:t>IT: CH_VB JAAC 54.29 del 28 giugno 1989</w:t>
      </w:r>
    </w:p>
    <w:p>
      <w:pPr>
        <w:pStyle w:val="Heading2"/>
      </w:pPr>
      <w:r>
        <w:t>Erwägungen</w:t>
      </w:r>
    </w:p>
    <w:p>
      <w:r>
        <w:rPr>
          <w:b/>
        </w:rPr>
        <w:t>E. 1</w:t>
      </w:r>
    </w:p>
    <w:p>
      <w:r>
        <w:t>I A. Die Schweizerischen Bundesbahnen (SBB) beabsichtigen, die aus dem Jahr 1922 stammende veraltete 66 kV-Kabelanlage zwischen Amsteg und Ritom durch eine neue 132 kV-Hochspannungsfreileitung zu ersetzen. Ein von den SBB eingereichtes Gesuch um Genehmigung des generellen Projekts ist vom Bundesamt für Verkehr am 9. März 1983 genehmigt worden. B. Eine vom Schweizer Heimatschutz gegen diese Plangenehmigung eingereichte Beschwerde hat das EVED am 16. Mai 1988 abgewiesen. Der Begründung ist zu entnehmen, dass die vom Beschwerdeführer verlangte Verkabelung im Bereich des Gotthards nicht in Frage komme, und zwar weder im Sicherheitsstollen des Strassentunnels noch in einem hiefür neu erstellten Stollen parallel zum Eisenbahntunnel. Als Kompromisslösung biete sich im Hospizbereich nur eine Gemeinschaftsleitung der SBB zusammen mit der Aare-Tessin-Aktiengesellschaft für Elektrizität (ATEL) an. Eine solche Lösung brächte für das Hospiz als Stätte nationaler Bedeutung bezüglich Landschaftsschutz eine echte Verbesserung. C. Gegen diese Verfügung hat der Schweizer Heimatschutz am 13. Juni 1988 beim Bundesrat eine Beschwerde eingereicht ... II ...</w:t>
      </w:r>
    </w:p>
    <w:p>
      <w:r>
        <w:rPr>
          <w:b/>
        </w:rPr>
        <w:t>E. 2</w:t>
      </w:r>
    </w:p>
    <w:p>
      <w:r>
        <w:t>der VV vom 27. Dezember 1966 über den Natur- und Heimatschutz, SR 451.1) hätten ihre Zustimmung zum Leitungsprojekt verweigern müssen, wenn dieses im Widerspruch zum Bundesrecht gestanden wäre; dass diese beiden Fachinstanzen erhebliche Tatsachen anlässlich der Prüfung übersehen haben, wird nicht geltend gemacht. Kommt hinzu, dass der Beschwerdeführer den Amtsbericht beziehungsweise die Expertise nicht in Zweifel zieht und insbesondere nicht geltend macht, der zugrunde gelegte Sachverhalt sei falsch oder widersprüchlich. Wenn der Beschwerdeführer den Einwand erhebt, man habe den emotionalen Gehalt des Gotthard-Hospizes nicht berücksichtigt, so irrt er. Das BUWAL hält in seiner Eingabe vom 9. März 1989 nochmals fest, dass die ENHK dem Leitungsprojekt in seiner heutigen Ausgestaltung dem Grundsatz nach zugestimmt habe; im weitern wird die</w:t>
      </w:r>
    </w:p>
    <w:p>
      <w:r>
        <w:rPr>
          <w:b/>
        </w:rPr>
        <w:t>E. 3</w:t>
      </w:r>
    </w:p>
    <w:p>
      <w:r>
        <w:t>gemeinsame Vernehmlassung der ENHK und des Bundesamtes für Forstwesen und Landschaftsschutz vom 23. November 1987 dahingehend präzisiert, dass der Landschaftsschutz umfassend zu verstehen sei; insbesondere wird darauf hingewiesen, dass die Begutachtung des Leitungsprojekts durch die ENHK unter allen massgebenden Gesichtspunkten erfolgt sei; so habe man nicht nur den historisch-kulturellen Wert, sondern darüber hinaus auch den Erlebniswert des Hospizbereiches mit seiner unmittelbaren visuellen Umgebung in die Prüfung miteinbezogen. Daraus ergibt sich, dass die Genehmigung des generellen Projekts für eine Gemeinschaftsleitung SBB/ATEL durch die Vorinstanz zu Recht erfolgt ist. Die Linienführung für die Gemeinschaftsleitung wurde sehr sorgfältig gewählt, und es wurde versucht, die Leitung bestmöglichst der Landschaft anzupassen. Dem Amtsbericht beziehungsweise der Expertise lässt sich ferner nicht entnehmen, dass aus der Sicht des Landschaftsschutzes eine Verkabelung der Starkstromleitung notwendig sei; die Gemeinschaftsleitung ATEL/SBB bringt nämlich gegenüber der heutigen Situation eine erhebliche Verbesserung (BGE 99 Ib 70, BGE 100 Ib 404; vgl. auch VPB 53.41 A, VPB 53.41 B). Die Vorinstanz hat daher den entsprechenden Antrag des Beschwerdeführers zu Recht abgelehnt. Sie konnte darüber bereits im Rahmen des generellen Projekts entscheiden und musste damit nicht zuwarten, bis das Detailprojekt vorliegt. Das generelle Projekt ist nämlich bereits verhältnismässig weit vorangetrieben, so dass sich die Auswirkungen der geplanten Freileitung schon heute zuverlässig beurteilen lassen. Die Fachstellen des Bundes betrachten diese Auswirkungen unter dem Blickwinkel von Art. 3 NHG als tragbar. Wie diese Frage nach Art. 6 NHG zu entscheiden wäre, kann offen bleiben, weil diese Bestimmung nur anwendbar wäre, wenn die Umgebung des Gotthard-Hospizes sich in einem Bundesinventar von Objekten mit nationaler Bedeutung befände; dies ist, wie der Beschwerdeführer selber zugibt, nicht der Fall. Im übrigen hat auch die Stiftung Pro St. Gotthard, welche die «Sicherung und Erhaltung der Passlandschaft und des Hospizes des St. Gotthard als nationale Gedenkstätte der Schweizergeschichte und als Symbol der schweizerischen Freiheit und Unabhängigkeit» zum Ziel hat, dem vorliegenden Plangenehmigungsprojekt nicht opponiert; andernfalls hätte wohl auch sie wie der Beschwerdeführer den Entscheid der Vorinstanz an den Bundesrat weitergezogen. Es versteht sich daher von selbst, dass unter diesen Umständen die vom Beschwerdeführer verlangte Verkabelung der Übertragungsleitung nicht mehr zu prüfen ist; abgesehen davon ist die Verkabelung einer 380-kV-Leitung schon technisch und betrieblich sehr problematisch. Entfällt die Kabelvariante bereits aus diesem Grunde, braucht auch keine Interessenabwägung zwischen dem Wert und der Schönheit der Landschaft sowie allfälligen mit dieser Variante in Zusammenhang stehenden betrieblichen und finanziellen Nachteilen vorgenommen zu werden. Der Beschwerdeführer könnte ein Zurückkommen auf die Frage Freileitung oder Verkabelung einzig dann verlangen, wenn das spätere Detailprojekt vom hier zu beurteilenden generellen Projekt erheblich abweichen würde. Nachdem aber die Lage der Masten, deren Höhe und die Spannweite der Trägerseile schon heute bekannt sind, dürften Projektänderungen kaum zu erwarten sein, es sei denn, die Detailprojektierung brächte bezüglich der Linienführung neue Erkenntnisse.</w:t>
      </w:r>
    </w:p>
    <w:p>
      <w:r>
        <w:rPr>
          <w:b/>
        </w:rPr>
        <w:t>E. 5</w:t>
      </w:r>
    </w:p>
    <w:p>
      <w:r>
        <w:t>Schweizerisches Bundesarchiv, Digitale Amtsdruckschriften Archives fédérales suisses, Publications officielles numérisées Archivio federale svizzero, Pubblicazioni ufficiali digitali JAAC 54.29 - Entscheid des Bundesrates vom 28. Juni 1989 In Verwaltungspraxis der Bundesbehörden Dans Jurisprudence des autorités administratives de la Confédération In Giurisprudenza delle autorità amministrative della Confederazione Jahr 1990 Année Anno Band 54 Volume Volume Seite --- Page Pagina Ref. No 150 001 181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