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54.15 vom 14. September 1988</w:t>
      </w:r>
    </w:p>
    <w:p>
      <w:r>
        <w:t>Bundesverwaltung, 1988-09-14, DE</w:t>
      </w:r>
    </w:p>
    <w:p>
      <w:r>
        <w:rPr>
          <w:b/>
        </w:rPr>
        <w:t xml:space="preserve">Quelle: </w:t>
      </w:r>
      <w:r>
        <w:t>https://mcp.opencaselaw.ch/entscheid/ch_vb_JAAC_54.15__</w:t>
      </w:r>
    </w:p>
    <w:p>
      <w:r>
        <w:t>FR: CH_VB JAAC 54.15 du 14 septembre 1988</w:t>
      </w:r>
    </w:p>
    <w:p>
      <w:r>
        <w:t>IT: CH_VB JAAC 54.15 del 14 settembre 1988</w:t>
      </w:r>
    </w:p>
    <w:p>
      <w:pPr>
        <w:pStyle w:val="Heading2"/>
      </w:pPr>
      <w:r>
        <w:t>Erwägungen</w:t>
      </w:r>
    </w:p>
    <w:p>
      <w:r>
        <w:rPr>
          <w:b/>
        </w:rPr>
        <w:t>E. 1</w:t>
      </w:r>
    </w:p>
    <w:p>
      <w:r>
        <w:t>(Formelles)</w:t>
      </w:r>
    </w:p>
    <w:p>
      <w:r>
        <w:rPr>
          <w:b/>
        </w:rPr>
        <w:t>E. 2</w:t>
      </w:r>
    </w:p>
    <w:p>
      <w:r>
        <w:t>Nach Art. 4 Abs. 2 Konzession SRG von 1987 sind die Ereignisse sachgerecht darzustellen, und die Vielfalt der Ansichten ist angemessen zum Ausdruck zu bringen. Diese beiden Grundsätze, die in Anlehnung an den Text von Art. 55bis Abs. 2 BV neu formuliert worden sind, entsprechen den Erfordernissen der Objektivität und der Ausgewogenheit, wie sie in der ehemaligen Konzession SRG vom 27. Oktober 1964/22. Dezember 1980 formuliert beziehungsweise angelegt war (vgl. Müller Jörg Paul, in: Kommentar zur Bundesverfassung der Schweizerischen Eidgenossenschaft vom 29. Mai 1874, Basel/Bern/Zürich 1987, Art. 55bis, Rz 50 ff. sowie unter anderem Entscheid der UBI vom 8. Juni 1988, «Matinée - Max Frisch)), VPB 53.50). Beide Gebote verfolgen das Ziel, die unabhängige Willensbildung des Publikums zu unterstützen und eine einseitige Meinungsbeeinflussung zu vermeiden. b. Das Gebot, der Vielfalt der Ansichten angemessen Ausdruck zu verleihen, ist dann besonders gewissenhaft zu berücksichtigen, wenn Beiträge als eigentliche Wahl- oder Abstimmungssendungen kurz vor dem Urnengang ausgestrahlt werden. In solchen Situationen soll die strenge Beachtung dieses Grundsatzes verhindern, dass die öffentliche Meinungsbildung einseitig beeinflusst und damit auch das Abstimmungsergebnis entsprechend verfälscht wird (vgl. Entscheid der UBI vom 4. Juli 1984, «Le regard et la parole», VPB 48.71 mit Hinweis auf BGE 98 Ia 82). Diesen erhöhten Anforderungen musste also auch der beanstandete Trickfilm Rechnung tragen.</w:t>
      </w:r>
    </w:p>
    <w:p>
      <w:r>
        <w:rPr>
          <w:b/>
        </w:rPr>
        <w:t>E. 3</w:t>
      </w:r>
    </w:p>
    <w:p>
      <w:r>
        <w:t>formuliert waren, zumal die amtlichen Erläuterungen von Gesetzes wegen diesen Anforderungen zu genügen haben (vgl. Art. 11 Abs. 2 des BG vom 17. Dezember 1976 über die politischen Rechte, SR 161.1). b. In bezug auf den kontradiktorischen Teil hält die Beschwerdeinstanz folgendes fest: Der Film räumt den Argumenten der Gegner und der Befürworter der Vorlage nahezu die gleiche Sendezeit ein (40 bzw. 50 Sekunden). Trotz des leichten zeitlichen Ungleichgewichts war die Gegenüberstellung der beiden Argumentengruppen vielmehr geeignet, den Zuschauer über die sich gegenüberstehenden Standpunkte angemessen zu informieren. Entscheidend ist dabei nicht die rein quantitativ gemessene zeitliche Dimension der Präsentation, sondern der inhaltliche, materielle Aspekt einer gleichmässigen Wiedergabe der sich gegenüberstehenden Argumente. Die beanstandete Sendung hat je drei Argumente für die beiden Standpunkte vorgeführt. Es versteht sich von selbst, dass es angesichts der äusserst kurzen Dauer des Abstimmungsspots unmöglich war, alle Pro- und Contra-Argumente abschliessend aufzuzählen. Infolgedessen hatten die verantwortlichen Fernsehredaktoren notwendigerweise eine bestimmte Auswahl zu treffen. Die Gewichtung der jeweiligen Themen, die Beurteilung ihrer Wirkung und Eignung zur filmischen Umsetzung liegen aber weitgehend im Ermessen des Veranstalters, der den Inhalt und die Gestaltung seiner Programme im Rahmen der Konzession frei bestimmt (vgl. etwa den Entscheid der UBI vom 11. Februar 1986, «Tamilen in der Schweiz», VPB 50.81). Im vorliegenden Fall gelangt die UBI zum Ergebnis, dass die verantwortlichen Medienschaffenden eine konzessionsrechtlich vertretbare Auswahl der vorgestellten Argumente vorgenommen haben: Die einander gegenübergestellten Argumente waren von vergleichbarer Bedeutung, verliehen jedem der beiden Standpunkte einen gleichen Grad an Glaubwürdigkeit und gaben die Haltung beider Lager sachgerecht und ausgewogen wieder. c. Abschliessend ist somit festzuhalten, dass der beanstandete Trickfilm die Konzession SRG nicht verletzt hat.</w:t>
      </w:r>
    </w:p>
    <w:p>
      <w:r>
        <w:rPr>
          <w:b/>
        </w:rPr>
        <w:t>E. 4</w:t>
      </w:r>
    </w:p>
    <w:p>
      <w:r>
        <w:t>Ebensowenig ist der Beanstandung des Beschwerdeführers beizupflichten, die Redaktion hätte es unterlassen, die Leitstelle der Gegnerschaft bei der Zusammenstellung des Filmes zu kontaktieren. Weder war diese Leitstelle Gegenstand der Sendung, noch war anzunehmen, dass sie Argumente oder Fakten geltend machen könnte, die in der öffentlichen Diskussion nicht bereits bekannt waren. Unter diesen Umständen verlangte die journalistische Sorgfaltspflicht nicht, dass die Leitstelle vorgängig kontaktiert wurde. Nichts spricht dafür, dass die kurze Abstimmungsinformation bei vorgängiger Anhörung der Leitstelle anders hätte ausfallen müssen.</w:t>
      </w:r>
    </w:p>
    <w:p>
      <w:r>
        <w:rPr>
          <w:b/>
        </w:rPr>
        <w:t>E. 5</w:t>
      </w:r>
    </w:p>
    <w:p>
      <w:r>
        <w:t>Schweizerisches Bundesarchiv, Digitale Amtsdruckschriften Archives fédérales suisses, Publications officielles numérisées Archivio federale svizzero, Pubblicazioni ufficiali digitali JAAC 54.15 - Entscheid der Unabhängigen Beschwerdeinstanz für Radio und Fernsehen vom 14. September 1988; eine dagegen erhobene Verwaltungsgerichtsbeschwerde wurde vom Bundesgericht am 23. Juni 1989 als unzulässig erklärt In Verwaltungspraxis der Bundesbehörden Dans Jurisprudence des autorités administratives de la Confédération In Giurisprudenza delle autorità amministrative della Confederazione Jahr 1990 Année Anno Band 54 Volume Volume Seite --- Page Pagina Ref. No 150 001 136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