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54.10 vom 3. September 1987</w:t>
      </w:r>
    </w:p>
    <w:p>
      <w:r>
        <w:t>Bundesverwaltung, 1987-09-03, DE</w:t>
      </w:r>
    </w:p>
    <w:p>
      <w:r>
        <w:rPr>
          <w:b/>
        </w:rPr>
        <w:t xml:space="preserve">Quelle: </w:t>
      </w:r>
      <w:r>
        <w:t>https://mcp.opencaselaw.ch/entscheid/ch_vb_JAAC_54.10__</w:t>
      </w:r>
    </w:p>
    <w:p>
      <w:r>
        <w:t>FR: CH_VB JAAC 54.10 du 3 septembre 1987</w:t>
      </w:r>
    </w:p>
    <w:p>
      <w:r>
        <w:t>IT: CH_VB JAAC 54.10 del 3 settembre 1987</w:t>
      </w:r>
    </w:p>
    <w:p>
      <w:pPr>
        <w:pStyle w:val="Heading2"/>
      </w:pPr>
      <w:r>
        <w:t>Erwägungen</w:t>
      </w:r>
    </w:p>
    <w:p>
      <w:r>
        <w:rPr>
          <w:b/>
        </w:rPr>
        <w:t>E. 1</w:t>
      </w:r>
    </w:p>
    <w:p>
      <w:r>
        <w:t>Für Beschwerden gegen die Verweigerung von Bau- oder Betriebsbewilligungen für Fahrzeuge ist der Bundesrat zuständig (Art. 72 Bst. a in Verbindung mit Art. 74 VwVG und Art. 99 Bst. e OG). Die vorliegende Beschwerde richtet sich gegen die Ablehnung der Durchführung einer Typenprüfung. Die Prüfungsverweigerung fusst auf der antizipierten Erkenntnis der Typenprüfstelle, dass die materiellen Voraussetzungen für das Bestehen der Prüfung nicht erfüllt sind. Inhaltlich kommt die angefochtene Verfügung mithin einer Verweigerung der Typengenehmigung nach durchgeführter Typenprüfung gleich, die als Verweigerung einer Bau- oder Betriebsbewilligung unter die Bestimmung von Art. 99 Bst. e OG fällt (siehe BGE 104 Ib 124). Auf die form- und fristgerecht eingereichte Beschwerde ist einzutreten.</w:t>
      </w:r>
    </w:p>
    <w:p>
      <w:r>
        <w:rPr>
          <w:b/>
        </w:rPr>
        <w:t>E. 2</w:t>
      </w:r>
    </w:p>
    <w:p>
      <w:r>
        <w:t>- Einbau anderer Aufhängungsteile und Räder - Änderung des Bremssystems Die Typenprüfstelle anerkennt die Gesamtgewichtsgarantie und Seitenwagentauglichkeits-Bestätigung der Beschwerdeführerin nicht, sondern verlangt eine Garantie des ursprünglichen Rahmenherstellers, das heisst der Y. 3.a. Art. 10 Abs. 2 BAV - gemäss Art. 50 Abs. 1 BAV sinngemäss auf Motorräder anwendbar - bestimmt, dass der Fahrzeughersteller von Motorwagen eine Garantie für das Gesamtgewicht abzugeben hat. Beachtlich ist, dass die Tragkraft der Fahrzeuge grundsätzlich nicht von einer Behörde bestimmt wird - die aber im Falle von Zweifeln an einer Garantie den Berechnungsnachweis verlangen kann (Art. 10 Abs. 4 BAV) -, sondern vom Hersteller. Insofern stösst auch das Argument der Beschwerdeführerin ins Leere, es sei gerade Sinn und Zweck der Typenprüfung, das Fahrzeug auf Tauglichkeit und Sicherheit zu prüfen. Der Hauptgrund dafür, dass der Hersteller die Gewichtsgarantie beizubringen hat, dürfte in der Komplexität der Tragkraftberechnung liegen, die sich nicht auf die Beurteilung der Konstruktion beschränken kann, sondern zahlreiche weitere Elemente einbeziehen muss, wie die Einschätzung der Schwächung durch Material-Ermüdung und Abnützung, und damit für die Verwaltung mit einem unverhältnismässigen Aufwand verbunden wäre. Zudem soll offenbar auch vermieden werden, dass eine Behörde beziehungsweise der Staat Verantwortung übernimmt, welche die Rechtsbeziehungen zwischen Fahrzeughersteller und -käufer beziehungsweise -benützer beschlagen. 3.b. Die Beschwerdeführerin meint zu Unrecht, «Fahrzeug-Hersteller» im Sinne von Art. 10 Abs. 2 BAV sei ein unbestimmter Gesetzesbegriff. Der Ausdruck ist lediglich interpretationsbedürftig; seine Bedeutung ist anhand der üblichen Auslegungsmethoden zu ermitteln; der teleologischen Auslegung der anwendbaren Bestimmung kommt dabei besonders viel Gewicht zu. Art. 10 Abs. 2 BAV will sicherstellen, dass nur Fahrzeuge in den Verkehr gelangen, deren Tragkraft dem zulässigen Gesamtgewicht genügt. Die überragende Bedeutung der Tragkraft eines Fahrzeuges und mithin der Herstellergarantie für die Verkehrssicherheit ist offensichtlich. Hersteller im Sinne von Art. 10 Abs. 2 BAV kann deshalb nur derjenige sein, der in der Lage ist, die Tragkraft zu beurteilen. 3.c. Die Richtlinien Nr. 2 B der Vereinigung der Strassenverkehrsämter vom 27. März 1987 bezeichnen in Ziff. 121 Abs. 1 als Fahrzeug-Hersteller gemäss Art. 10 BAV den «Hersteller des Fahrgestells oder Rahmens». Die Richtlinien bestimmen, dies sei, «wer das Motorrad nach seinem Konzept konstruiert», und verstehen darunter «denjenigen, der die Grundelemente (Rahmen, Motor, Vorderradgabel, Hinderradschwinge usw.) so entwickelt und aufeinander abstimmt, dass das Fahrzeug unter Einhaltung des Garantiegewichts betriebssicher verwendet werden kann». In Ziff. 121 Abs. 2 grenzen die Richtlinien sodann vom Hersteller den blossen Umbauer ab. Als Umbauer wird bezeichnet, wer an einem Motorrad (sekundäre) Änderungen vornimmt, hinsichtlich Motorleistung, Räder, Reifengrösse, Fahrwerkabstimmung, wer Zubehörteile (Verschalung usw.) oder einen Seitenwagen anbringt und wer einzelne Komponenten ändert oder austauscht.</w:t>
      </w:r>
    </w:p>
    <w:p>
      <w:r>
        <w:rPr>
          <w:b/>
        </w:rPr>
        <w:t>E. 3</w:t>
      </w:r>
    </w:p>
    <w:p>
      <w:r>
        <w:t>Ziff. 22 der Richtlinien bestimmt ferner, dass Motorräder, die «aus bestehenden Fahrzeugteilen unter Verwendung eines neuen Rahmens» entstehen, als neu gelten. Dies bedeutet offensichtlich - obwohl es die Richtlinien nicht ausdrücklich sagen -, dass für die Abgabe der Gesamtgewichtsgarantie in diesem Fall nicht der oder die Hersteller der «bestehenden Fahrzeugteile» zuständig sind, sondern derjenige, der diese Teile mit einem neuen Rahmen zusammenbaut, beziehungsweise der Hersteller des neuen Rahmens. 3.d. Unzutreffend ist die Auffassung der Vorinstanz, die in ihrer Vernehmlassung ausführt, der Begriff des Herstellers bedürfe keiner Interpretation mehr, weil er in den Richtlinien Nr. 2 B der Vereinigung der Strassenverkehrsämter konkretisiert sei. Damit räumt sie den Richtlinien eine Verbindlichkeit ein, die ihnen nicht zukommt. Richtlinien sind zwar bis zu einem gewissen Grad zu berücksichtigen, sind jedoch keine Rechtssätze, dürfen nicht schematisch angewendet werden und eine dem Einzelfall gerecht werdende Auslegung des Bundesrechts nicht vereiteln oder erschweren. Ausnahmen müssen möglich sein, auch wenn eine Richtlinie im allgemeinen als sachgerecht erscheint (BGE 106 Ib 254, mit weiteren Hinweisen). In diesem Sinn sind die Richtlinien Nr. 2 B der Vereinigung der Strassenverkehrsämter auch im vorliegenden Fall anzuwenden beziehungsweise zu überprüfen. 3.e. Die Richtlinien geben zum Hersteller-Begriff näher betrachtet drei verschiedene Umschreibungen: Rahmen-Hersteller, Konzeptverfasser-Konstrukteur, Entwickler-Kombinierer von Einzelteilen. Im Normalfall eines Serienmotorrades, das so in den Verkehr gelangt, wie es die Fabrik verlässt, führen alle drei Umschreibungen zum gleichen Ergebnis. Bei gegenüber der Original Ausführung abgeänderten beziehungsweise aus Teilen verschiedener Modelle zusammengesetzten Fahrzeugen, können die drei Definitionen hingegen zu verschiedenen Resultaten führen. Es ist zum Beispiel nicht auszuschliessen, dass der Umbauer eines Motorrades ein eigenes Konzept verfolgt und in gewissem Sinn eine eigene Konstruktion realisiert; nach diesem Kriterium könnte der Umbauer so zum Hersteller werden. In bezug auf Umbauten und die Zusammensetzung von Teilen verschiedener Modelle ist deshalb zu prüfen, welche der drei Hersteller-Umschreibungen zutreffend ist, das heisst, dem Sinn und Zweck von Art. 10 Abs. 2 BAV entspricht. Es ist diejenige, die den Rahmen-Hersteller als Fahrzeug-Hersteller bezeichnet: Der Rahmen ist eigentlich tragender Teil des Motorrades und damit in erster Linie für die Bestimmung des Gesamtgewichts massgebend. Der Rahmen-Hersteller ist deshalb besser als andere «Beteiligte» in der Lage, die Gesamtgewichtsgarantie abzugeben. Dieses Resultat wird durch die Richtlinien Nr. 2 B bestätigt, indem sie in Ziff. 121 Abs. 2 solche andere «Beteiligte» als Umbauer umschreiben und sie dadurch von der Ausstellung der Gewichtsgarantie ausschliessen. Die Richtlinien nehmen somit eine dem Sinn von Art. 10 Abs. 2 BAV durchaus entsprechende Konkretisierung des Begriffs «Hersteller» vor. 3.f. Aus dem Gesagten ergibt sich, dass das fragliche Motorrad als neu und die Beschwerdeführerin als seine Herstellerin und deshalb zum Ausstellen der Gesamtgewichtsgarantie zuständig anerkannt werden müsste, wenn sie einen neuen, selber hergestellten Rahmen verwendete. Das gleiche besagt</w:t>
      </w:r>
    </w:p>
    <w:p>
      <w:r>
        <w:rPr>
          <w:b/>
        </w:rPr>
        <w:t>E. 4</w:t>
      </w:r>
    </w:p>
    <w:p>
      <w:r>
        <w:t>Zu prüfen bleibt indessen, ob die richtige Anwendung von Art. 10 Abs. 2 und 3 BAV sowie der dem Sinn dieser Vorschriften entsprechenden Richtlinien Nr. 2 B vor der Verfassung standhält. Dies trifft nur beschränkt zu: 4.a. Die fraglichen Vorschriften führen zu einer weitgehenden Abhängigkeit des Umbauers vom ursprünglichen Rahmen-Hersteller, welcher er nur dadurch entgehen kann, dass er selber von Grund auf einen eigenen Rahmen herstellt. Will oder kann er dies nicht tun, so können die umstrittenen Bestimmungen faktisch dazu führen, dass die Tätigkeit des Umbauers verunmöglicht wird, weil ihm der ursprüngliche Hersteller die erforderlichen Garantien und Erklärungen nicht abgibt. Eine entsprechende Verweigerung könnte, wie die Beschwerdeführerin zu Recht ausführt, vor allem auch technische Gründe haben und darauf beruhen, dass der ursprüngliche Hersteller sich ausserstande sieht, die Festigkeitsstruktur eines Rahmens, nachdem daran wesentliche Eingriffe vorgenommen wurden, zu verbürgen, weil er die Auswirkungen solcher Eingriffe nicht beurteilen kann. Diese Erschwerung oder gar Verhinderung des Rahmen-Umbauens ist durchaus gewollt; wie die Typenprüfstelle mitteilt, wurden die geltenden Richtlinien Nr. 2 B der Vereinigung der Strassenverkehrsämter gegenüber der früheren Fassung bewusst dahingehend geändert, dem Zerschneiden bestehender Rahmen entgegenzutreten. 4.b. Die umstrittene Regelung stellt eine erhebliche Beschränkung der Handels- und Gewerbefreiheit dar und ist mithin auf ihre Übereinstimmung mit den allgemeinen Voraussetzungen für Grundrechts-Eingriffe zu prüfen. Im Zentrum steht vorliegend der Verhältnismässigkeitsgrundsatz, der insbesondere besagt, dass die jeweilige grundrechtsbeschränkende Massnahme nötig sein muss und nicht über ihr Ziel hinausschiessen darf.</w:t>
      </w:r>
    </w:p>
    <w:p>
      <w:r>
        <w:rPr>
          <w:b/>
        </w:rPr>
        <w:t>E. 5</w:t>
      </w:r>
    </w:p>
    <w:p>
      <w:r>
        <w:t>Dass die Beschwerdeführerin über ausreichende Berechnungsgrundlagen verfügt, erscheint aufgrund der Akten als zweifelhaft. Sie selbst hat der Typenprüfstelle am 25. August 1987 auf entsprechende Anfragen mitgeteilt, sie baue ihre Fahrzeuge ohne viel Zeichnungs- und Konstruktionsunterlagen und das von ihr später eingereichte Zeichnungs- und Zahlenmaterial erscheint dem Laien als Grundlage für die Abgabe einer Gewichts-Garantie als ziemlich mager. Immerhin ist zu berücksichtigen, dass diese Unterlagen lediglich dem Beweis der Hersteller-Eigenschaft dienten und die Beschwerdeführerin nie spezifisch zur Lieferung des Berechnungsnachweises aufgefordert wurde und nicht ausgeschlossen ist, dass sie diesen erbringen könnte.</w:t>
      </w:r>
    </w:p>
    <w:p>
      <w:r>
        <w:rPr>
          <w:b/>
        </w:rPr>
        <w:t>E. 6</w:t>
      </w:r>
    </w:p>
    <w:p>
      <w:r>
        <w:t>Die Frage, welche Anforderungen der Berechnungsnachweis erfüllen muss, um eine Gesamtgewichts-Garantie zu verbürgen, ist ausgesprochen technischer Natur. Es ist daher gerechtfertigt, die Sache in Anwendung von Art. 61 Abs. 1 VwVG an die Vorinstanz zurückzuweisen mit der Weisung, die Typenprüfstelle anzuhalten, es sei abzuklären, ob die Beschwerdeführerin den Berechnungsnachweis für die von ihr abgegebene Gesamtgewichts-Garantie zu erbringen vermöge und sie diesfalls zur Typenprüfung zuzulassen.</w:t>
      </w:r>
    </w:p>
    <w:p>
      <w:r>
        <w:rPr>
          <w:b/>
        </w:rPr>
        <w:t>E. 7</w:t>
      </w:r>
    </w:p>
    <w:p>
      <w:r>
        <w:t>Schweizerisches Bundesarchiv, Digitale Amtsdruckschriften Archives fédérales suisses, Publications officielles numérisées Archivio federale svizzero, Pubblicazioni ufficiali digitali JAAC 54.10 - Entscheid des Bundesrates vom 26. April 1989 In Verwaltungspraxis der Bundesbehörden Dans Jurisprudence des autorités administratives de la Confédération In Giurisprudenza delle autorità amministrative della Confederazione Jahr 1990 Année Anno Band 54 Volume Volume Seite --- Page Pagina Ref. No 150 001 121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