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53.42 vom 11. Januar 1989</w:t>
      </w:r>
    </w:p>
    <w:p>
      <w:r>
        <w:t>Bundesverwaltung, 1989-01-11, DE</w:t>
      </w:r>
    </w:p>
    <w:p>
      <w:r>
        <w:rPr>
          <w:b/>
        </w:rPr>
        <w:t xml:space="preserve">Quelle: </w:t>
      </w:r>
      <w:r>
        <w:t>https://mcp.opencaselaw.ch/entscheid/ch_vb_JAAC_53.42__</w:t>
      </w:r>
    </w:p>
    <w:p>
      <w:r>
        <w:t>FR: CH_VB JAAC 53.42 du 11 janvier 1989</w:t>
      </w:r>
    </w:p>
    <w:p>
      <w:r>
        <w:t>IT: CH_VB JAAC 53.42 del 11 gennaio 1989</w:t>
      </w:r>
    </w:p>
    <w:p>
      <w:pPr>
        <w:pStyle w:val="Heading2"/>
      </w:pPr>
      <w:r>
        <w:t>Erwägungen</w:t>
      </w:r>
    </w:p>
    <w:p>
      <w:r>
        <w:rPr>
          <w:b/>
        </w:rPr>
        <w:t>E. 1</w:t>
      </w:r>
    </w:p>
    <w:p>
      <w:r>
        <w:t>Les dérogations aux règles sur la priorité des véhicules constituent des limitations fonctionnelles du trafic au sens de l’art. 3 al. 4 de la LF du 19 décembre 1958 sur la circulation routière (LCR, RS 741.0). Tel est le cas de l’aménagement d’un carrefour en giratoire «anglais» avec perte de priorité</w:t>
      </w:r>
    </w:p>
    <w:p>
      <w:r>
        <w:rPr>
          <w:b/>
        </w:rPr>
        <w:t>E. 2</w:t>
      </w:r>
    </w:p>
    <w:p>
      <w:r>
        <w:t>L’art 48 let. a PA confère la qualité pour recourir à quiconque est touché par la décision et a un intérêt digne de protection à ce qu’elle soit annulée ou modifiée. Selon la jurisprudence, une association peut recourir, d’une part, lorsqu’elle est touchée par la décision attaquée comme le serait un particulier. Tel n’est manifestement pas le cas en l’espèce. Elle peut, d’autre part, agir pour défendre les intérêts de ses membres aux conditions suivantes: - l’association doit avoir la personnalité juridique au sens de l’art. 60 CC, - les membres doivent avoir eux-mêmes la qualité pour recourir, - la décision attaquée doit léser la majorité ou du moins un grand nombre des membres de l’association, - la défense des intérêts mis en cause doit figurer parmi les buts statutaires de l’association. En l’espèce, l’association recourante a la personnalité juridique et défend, conformément à ses statuts, les intérêts de ses membres, en tant qu’habitants du quartier du Schoenberg. Le carrefour du Grand’Pont se trouvant sur l’axe principal qui relie le centre de la Ville de Fribourg au quartier du Schoenberg, il y a lieu d’admettre que la mesure en cause touche un très grand nombre des membres de l’association recourante.</w:t>
      </w:r>
    </w:p>
    <w:p>
      <w:r>
        <w:rPr>
          <w:b/>
        </w:rPr>
        <w:t>E. 3</w:t>
      </w:r>
    </w:p>
    <w:p>
      <w:r>
        <w:t>et 4. …</w:t>
      </w:r>
    </w:p>
    <w:p>
      <w:r>
        <w:rPr>
          <w:b/>
        </w:rPr>
        <w:t>E. 5</w:t>
      </w:r>
    </w:p>
    <w:p>
      <w:r>
        <w:t>Selon l’art. 3 al. 4 LCR, des restrictions ou des prescriptions qui ne sont pas des interdictions complètes ou temporaires de circuler, mais des limitations fonctionnelles du trafic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L’art. 107 al. 5 de l’O du 5 septembre 1979 sur la signalisation routière (OSR, RS 741.21) prescrit en outre qu’au moment d’ordonner une réglementation locale du trafic, l’autorité devra opter pour la mesure qui atteint son but en restreignant le moins possible la circulation. Les autorités de recours fribourgeoises ont confirmé la mesure attaquée à titre non pas définitif, mais seulement temporaire. L’art. 107 al. 1 OSR prévoit que les signaux de prescription notamment peuvent être mis en place exceptionnellement durant 30 jours au maximum avant la publication de la décision de réglementation du trafic, si la sécurité routière l’exige ou si des conditions particulières rendent souhaitable une signalisation temporaire installée à titre expérimental. Lorsque de telles réglementations locales du trafic durent moins de 60 jours, la décision de restriction doit être publiée, bien qu’elle ne puisse être l’objet d’un recours (art. 107 al. 2 OSR). Pour le surplus, le droit fédéral ne précise pas qu’une mesure de restriction du trafic puisse être ordonnée à titre d’essai. Rien n’interdit toutefois aux cantons, en se fondant sur les principes généraux du droit, de limiter dans le temps les effets 3</w:t>
      </w:r>
    </w:p>
    <w:p>
      <w:r>
        <w:t>d’une telle réglementation pour prendre ultérieurement une mesure définitive sur la base de l’expérience acquise. Il va sans dire que dans ce cas, les autorités cantonales ont toute liberté, au terme de la période d’essai, soit de renoncer à ladite mesure et de rétablir l’état antérieur des lieux, soit de maintenir cette mesure à titre définitif, soit même d’adopter une autre mesure. Une restriction de circulation temporaire cesse en effet automatiquement de produire ses effets à l’échéance de la période prévue. Quelle que soit la décision qui est prise ultérieurement, les particuliers ont la possibilité de l’attaquer par la voie du recours. Il serait faux de croire que, parce qu’elle a été adoptée à titre provisoire, une telle solution deviendrait définitive par la force des choses. Les réglementations du trafic de durée limitée sont soumises aux mêmes conditions que celles qui ont un caractère définitif. Poursuivant le même but que les restrictions prévues par l’art. 3 al. 4 LCR, elles doivent tout d’abord en remplir les conditions. Elles doivent ensuite permettre d’atteindre le résultat escompté. Elles sont enfin soumises au principe de la proportionnalité (art. 107 al. 5 OSR). Il faut toute-fois également tenir compte des particularités d’une réglementation du trafic ordonnée à titre d’essai. Celle-ci est précisément justifiée lorsqu’il n’est pas possible de connaître avec suffisamment de précision les effets de la mesure envisagée (importance et modalités d’une déviation du trafic, diminution ou augmentation d’émissions nocives, influence sur la sécurité routière). Une autorité administrative est certainement mieux à même de prendre une décision définitive si elle peut se fonder sur une expérience concrète que si elle doit se baser sur de simples présomptions. Une période d’essai permet de réunir les éléments d’appréciation nécessaires. De ce fait, le Conseil fédéral doit reconnaître aux autorités cantonales compétentes un très large pouvoir d’appréciation dans leur décision. Il fera d’autant plus preuve de retenue dans l’examen de la décision attaquée qu’un terme a été fixé à la mesure et qu’il sera possible de recourir contre la décision définitive. Aussi une mesure de restriction du trafic prise à titre d’essai ne sera-t-elle en principe annulée que lorsqu’elle poursuit un but étranger à la loi, qu’elle constitue un moyen manifestement inapproprié pour atteindre ce but ou qu’elle ne respecte manifestement pas le principe de la proportionnalité (JAAC 51.51).</w:t>
      </w:r>
    </w:p>
    <w:p>
      <w:r>
        <w:rPr>
          <w:b/>
        </w:rPr>
        <w:t>E. 6</w:t>
      </w:r>
    </w:p>
    <w:p>
      <w:r>
        <w:t>Schweizerisches Bundesarchiv, Digitale Amtsdruckschriften Archives fédérales suisses, Publications officielles numérisées Archivio federale svizzero, Pubblicazioni ufficiali digitali JAAC 53.42 - Décision du Conseil fédéral du 11 janvier 1989 In Verwaltungspraxis der Bundesbehörden Dans Jurisprudence des autorités administratives de la Confédération In Giurisprudenza delle autorità amministrative della Confederazione Jahr 1989 Année Anno Band 53 Volume Volume Seite --- Page Pagina Ref. No 150 001 019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