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53.36 vom 18. Januar 1989</w:t>
      </w:r>
    </w:p>
    <w:p>
      <w:r>
        <w:t>Bundesverwaltung, 1989-01-18, DE</w:t>
      </w:r>
    </w:p>
    <w:p>
      <w:r>
        <w:rPr>
          <w:b/>
        </w:rPr>
        <w:t xml:space="preserve">Quelle: </w:t>
      </w:r>
      <w:r>
        <w:t>https://mcp.opencaselaw.ch/entscheid/ch_vb_JAAC_53.36__</w:t>
      </w:r>
    </w:p>
    <w:p>
      <w:r>
        <w:t>FR: CH_VB JAAC 53.36 du 18 janvier 1989</w:t>
      </w:r>
    </w:p>
    <w:p>
      <w:r>
        <w:t>IT: CH_VB JAAC 53.36 del 18 gennaio 1989</w:t>
      </w:r>
    </w:p>
    <w:p>
      <w:pPr>
        <w:pStyle w:val="Heading2"/>
      </w:pPr>
      <w:r>
        <w:t>Erwägungen</w:t>
      </w:r>
    </w:p>
    <w:p>
      <w:r>
        <w:rPr>
          <w:b/>
        </w:rPr>
        <w:t>E. 1</w:t>
      </w:r>
    </w:p>
    <w:p>
      <w:r>
        <w:t>Dezember 1987 beim Bundesrat eine Beschwerde eingereicht mit dem sinngemässen Antrag, die Baubewilligung für die Erstellung der projektierten Friedhofanlage in W. zu verweigern. Der Begründung ist zu entnehmen, dass die vorgesehene Anlage neuer Gräber eine Gewässerverschmutzung zur Folge haben könne. Ferner habe er gemäss Art. 53 Abs. 2 BV Anspruch darauf, schicklich beerdigt zu werden; eine solche schickliche Beerdigung werde hier in Frage gestellt, wenn er einmal als Verstorbener im Grundwasser verfaule anstatt dem normalen Verwesungsprozess ausgesetzt zu sein. II 1.a. Letztinstanzliche kantonale Entscheide im Zusammenhang mit einem Baubewilligungsverfahren unterliegen nach Art. 34 des BG vom 22. Juni 1979 über die Raumplanung (RPG, SR 700) der Verwaltungsgerichtsbeschwerde beziehungsweise der staatsrechtlichen Beschwerde an das Bundesgericht. Dieses hat am 1. Dezember 1987 eine staatsrechtliche Beschwerde von T.</w:t>
      </w:r>
    </w:p>
    <w:p>
      <w:r>
        <w:rPr>
          <w:b/>
        </w:rPr>
        <w:t>E. 2</w:t>
      </w:r>
    </w:p>
    <w:p>
      <w:r>
        <w:t>Die vorliegende Beschwerde kann auch nicht als Aufsichtsbeschwerde an die Hand genommen werden. Gemäss ständiger Praxis tritt eine Aufsichtsbehörde auf eine Anzeige nur ein, wenn der Beschwerdeführer die geltend gemachte Verletzung von Bundesrecht mit keinem ordentlichen oder ausserordentlichen Rechtsmittel rügen kann (Gygi, a. a. O., S. 221 ff.; Grisel André, Traité de droit administratif, Neuenburg 1984, Bd. 2, S. 951 f.;</w:t>
      </w:r>
    </w:p>
    <w:p>
      <w:r>
        <w:rPr>
          <w:b/>
        </w:rPr>
        <w:t>E. 3</w:t>
      </w:r>
    </w:p>
    <w:p>
      <w:r>
        <w:t>Es ist somit weder auf die Verwaltungsbeschwerde noch auf die Aufsichtsbeschwerde einzutreten.</w:t>
      </w:r>
    </w:p>
    <w:p>
      <w:r>
        <w:rPr>
          <w:b/>
        </w:rPr>
        <w:t>E. 4</w:t>
      </w:r>
    </w:p>
    <w:p>
      <w:r>
        <w:t>Schweizerisches Bundesarchiv, Digitale Amtsdruckschriften Archives fédérales suisses, Publications officielles numérisées Archivio federale svizzero, Pubblicazioni ufficiali digitali JAAC 53.36 - Entscheid des Bundesrates vom 18. Januar 1989 In Verwaltungspraxis der Bundesbehörden Dans Jurisprudence des autorités administratives de la Confédération In Giurisprudenza delle autorità amministrative della Confederazione Jahr 1989 Année Anno Band 53 Volume Volume Seite --- Page Pagina Ref. No 150 000 995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