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52.8 vom 21. September 1987</w:t>
      </w:r>
    </w:p>
    <w:p>
      <w:r>
        <w:t>Bundesverwaltung, 1987-09-21, DE</w:t>
      </w:r>
    </w:p>
    <w:p>
      <w:r>
        <w:rPr>
          <w:b/>
        </w:rPr>
        <w:t xml:space="preserve">Quelle: </w:t>
      </w:r>
      <w:r>
        <w:t>https://mcp.opencaselaw.ch/entscheid/ch_vb_JAAC_52.8__</w:t>
      </w:r>
    </w:p>
    <w:p>
      <w:r>
        <w:t>FR: CH_VB JAAC 52.8 du 21 septembre 1987</w:t>
      </w:r>
    </w:p>
    <w:p>
      <w:r>
        <w:t>IT: CH_VB JAAC 52.8 del 21 settembre 1987</w:t>
      </w:r>
    </w:p>
    <w:p>
      <w:pPr>
        <w:pStyle w:val="Heading2"/>
      </w:pPr>
      <w:r>
        <w:t>Erwägungen</w:t>
      </w:r>
    </w:p>
    <w:p>
      <w:r>
        <w:rPr>
          <w:b/>
        </w:rPr>
        <w:t>E. 1</w:t>
      </w:r>
    </w:p>
    <w:p>
      <w:r>
        <w:t>…</w:t>
      </w:r>
    </w:p>
    <w:p>
      <w:r>
        <w:rPr>
          <w:b/>
        </w:rPr>
        <w:t>E. 2</w:t>
      </w:r>
    </w:p>
    <w:p>
      <w:r>
        <w:t>Si, lors de l’examen d’un projet tendant à modifier des eaux ou leur régime, des cours d’eau ainsi que des rives et le fond des lacs, on ne peut trouver aucune mesure permettant d’empêcher qu’une atteinte grave ne soit portée aux intérêts de la pêche, la décision sera prise compte tenu de tous les intérêts en jeu.</w:t>
      </w:r>
    </w:p>
    <w:p>
      <w:r>
        <w:rPr>
          <w:b/>
        </w:rPr>
        <w:t>E. 2.1</w:t>
      </w:r>
    </w:p>
    <w:p>
      <w:r>
        <w:t>Sous le titre «Autorisation pour les installations techniques», l’art. 24 al. 1 de la LF du 14 décembre 1973 sur la pêche (RS 923.0) dispose notamment que «les eaux ou leur régime, les cours d’eau ainsi que les rives et le fond des</w:t>
      </w:r>
    </w:p>
    <w:p>
      <w:r>
        <w:rPr>
          <w:b/>
        </w:rPr>
        <w:t>E. 2.2</w:t>
      </w:r>
    </w:p>
    <w:p>
      <w:r>
        <w:t>Aux termes de l’art. 60 du règlement valaisan d’exécution, du 13 février 1980, des lois fédérale et cantonale sur la pêche, le Conseil d’Etat est l’autorité cantonale compétente pour l’application des art. 24 et suivants de la LF sur la pêche. Certes, aux termes de l’art. 41 al. 2 de la loi cantonale sur l’utilisation des forces hydrauliques, il appartient au Département des travaux publics de fixer le débit minimum. Or le débit minimum est une des mesures à prendre en matière de pêche en cas de construction d’une nouvelle installation. Toutefois, il n’appartient pas au Conseil fédéral de trancher ce point de droit cantonal. Il suffit de constater qu’aux termes de l’art. 25 al. 3 de la LF sur la pêche les mesures prévues au ler al. doivent être déjà fixées lors de l’élaboration des projets, c’est-à-dire que la décision fixant le débit minimum soit être prise au plus tard au moment de l’approbation de la concession.</w:t>
      </w:r>
    </w:p>
    <w:p>
      <w:r>
        <w:rPr>
          <w:b/>
        </w:rPr>
        <w:t>E. 3</w:t>
      </w:r>
    </w:p>
    <w:p>
      <w:r>
        <w:t>plus tard au moment de l’approbation de la concession, la fixation du débit minimum n’est qu’une des mesures énoncées à l’art. 25 de la LF sur la pêche. Les autres mesures doivent également être arrêtées avant l’approbation de la concession par le Conseil d’Etat. Si, en raison des circonstances de fait du cas d’espèce, aucune de ces autres mesures ne devrait être nécessaire, le Conseil d’Etat devrait le constater au plus tard en approuvant les concessions et le motiver succinctement. En l’espèce, le Conseil d’Etat n’a ordonné aucune des mesures prévues à l’art. 25 de la LF sur la pêche et il n’a pas non plus constaté qu’aucune de ces mesures n’était nécessaire. Dans la première hypothèse comme dans la seconde, il a donc mal appliqué le droit fédéral. Aussi est-ce à bon droit que le Tribunal administratif a annulé la décision du Conseil d’Etat.</w:t>
      </w:r>
    </w:p>
    <w:p>
      <w:r>
        <w:rPr>
          <w:b/>
        </w:rPr>
        <w:t>E. 3.1</w:t>
      </w:r>
    </w:p>
    <w:p>
      <w:r>
        <w:t>En approuvant les deux concessions, le Conseil d’Etat réserva la détermination du débit minimum par les «autorités compétentes». Outre que la décision en question, ainsi qu’on vient de le voir, doit être prise au</w:t>
      </w:r>
    </w:p>
    <w:p>
      <w:r>
        <w:rPr>
          <w:b/>
        </w:rPr>
        <w:t>E. 3.2</w:t>
      </w:r>
    </w:p>
    <w:p>
      <w:r>
        <w:t>Le Tribunal administratif a interprété l’art. 25 al. 3 de la LF sur la pêche en ce sens que l’autorisation en matière de pêche doit faire l’objet d’une décision distincte, antérieure à l’octroi de la concession. Dans son message du 24 janvier 1973 à l’appui d’une nouvelle loi sur la pêche (FF 1973 I 645 s., en particulier p. 658), le Conseil fédéral exposait à propos de cette disposition - c’était alors l’art. 24 du projet, repris tel quel comme art. 25 de la loi - que «le 3e al. a pour but d’assurer lorsqu’il est temps une étroite collaboration entre les offices chargés d’établir les projets et les autorités compétentes en matière de pêche …». Le Tribunal fédéral a constaté à ce propos dans un arrêt publié qu’en ce qui concerne cette disposition, le législateur est parti de l’idée que les mesures en matière de pêche au sens de l’art. 25 de la LF sur la pêche sont prises avant que la concession ne soit accordée. Quant au débit utilisable (soit la différence entre le débit total et le débit minimal imposé), le Tribunal a exposé qu’aux termes de l’art. 54 let. b de la LF du 22 décembre 1916 sur l’utilisation des forces hydrauliques (RS 721.80), il fait partie du contenu obligatoire de la concession (ATF 107 Ib 144, cons. 3a, et ATF 107 Ib 148, cons. 6a). Dans un deuxième arrêt concernant le même état de fait, il a exposé que fixer le débit minimal fait partie tant du contenu de l’octroi de la concession que des mesures principales visant à assurer des conditions de vie favorables pour les animaux aquatiques (art. 25 al. 1 let. b de la LF sur la pêche; cf. ATF 107 Ib 153 s. cons. 3c). On peut déduire de ce qui précède que le débit minimal doit être fixé avant l’octroi de la concession et au plus tard simultanément. En effet, de l’avis du Conseil fédéral, l’autorisation en matière de pêche peut être donnée au plus tard en même temps que la concession. Le Conseil d’Etat l’a omis, par quoi il a violé le droit fédéral (art. 49 let. a PA). 4.1. Partant du fait qu’il appartient aux cantons de conférer des droits d’eau - sous réserve d’exceptions non réalisées en l’espèce - la recourante prétend que le Tribunal administratif a admis à tort que l’affaire est régie par le droit public fédéral et non par le droit cantonal. Cette opinion est erronée. Le Tribunal administratif n’a pas annulé la décision du Conseil d’Etat parce qu’il</w:t>
      </w:r>
    </w:p>
    <w:p>
      <w:r>
        <w:rPr>
          <w:b/>
        </w:rPr>
        <w:t>E. 4</w:t>
      </w:r>
    </w:p>
    <w:p>
      <w:r>
        <w:t>aurait mal appliqué la législation cantonale sur les forces hydrauliques, mais - ainsi qu’on vient de le voir - parce qu’il a mal appliqué la loi fédérale sur la pêche. Ce grief de la recourante est donc mal fondé.</w:t>
      </w:r>
    </w:p>
    <w:p>
      <w:r>
        <w:rPr>
          <w:b/>
        </w:rPr>
        <w:t>E. 5</w:t>
      </w:r>
    </w:p>
    <w:p>
      <w:r>
        <w:t>Schweizerisches Bundesarchiv, Digitale Amtsdruckschriften Archives fédérales suisses, Publications officielles numérisées Archivio federale svizzero, Pubblicazioni ufficiali digitali JAAC 52.8 - Décision du Conseil fédéral du 21 septembre 1987 In Verwaltungspraxis der Bundesbehörden Dans Jurisprudence des autorités administratives de la Confédération In Giurisprudenza delle autorità amministrative della Confederazione Jahr 1988 Année Anno Band 52 Volume Volume Seite --- Page Pagina Ref. No 150 000 896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