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52.61 vom 7. September 1988</w:t>
      </w:r>
    </w:p>
    <w:p>
      <w:r>
        <w:t>Bundesverwaltung, 1988-09-07, DE</w:t>
      </w:r>
    </w:p>
    <w:p>
      <w:r>
        <w:rPr>
          <w:b/>
        </w:rPr>
        <w:t xml:space="preserve">Quelle: </w:t>
      </w:r>
      <w:r>
        <w:t>https://mcp.opencaselaw.ch/entscheid/ch_vb_JAAC_52.61__</w:t>
      </w:r>
    </w:p>
    <w:p>
      <w:r>
        <w:t>FR: CH_VB JAAC 52.61 du 7 septembre 1988</w:t>
      </w:r>
    </w:p>
    <w:p>
      <w:r>
        <w:t>IT: CH_VB JAAC 52.61 del 7 settembre 1988</w:t>
      </w:r>
    </w:p>
    <w:p>
      <w:pPr>
        <w:pStyle w:val="Heading2"/>
      </w:pPr>
      <w:r>
        <w:t>Erwägungen</w:t>
      </w:r>
    </w:p>
    <w:p>
      <w:r>
        <w:rPr>
          <w:b/>
        </w:rPr>
        <w:t>E. 1</w:t>
      </w:r>
    </w:p>
    <w:p>
      <w:r>
        <w:t>I A. Am 7. März 1979 hat der Regierungsrat des Kantons Zürich ein Meliorationsprojekt für eine Güter- und Waldzusammenlegung Uster genehmigt. Ferner hat der Regierungsrat des Kantons Zürich am 11. Juni 1980 der Meliorationsgemeinschaft Uster die Bewilligung zur Erstellung eines neuen Wegnetzes im Gebiet des Greifensees erteilt. Der Begründung dieses Entscheides ist zu entnehmen, dass die Anlage sich im Einklang mit den Bestimmungen der kantonalen Landschaftsschutz-Verordnung Greifensee befinde. Das projektierte Wegnetz diene nicht nur der landwirtschaftlichen Nutzung, sondern schliesse auch bestehende Lücken im Seeuferweg. B. Am 26. August 1985 hat das Eidgenössische Meliorationssamt dem Kanton Zürich an die Gesamtmelioration Uster, 7. Etappe, einen Bundesbeitrag von Fr. 132 912.- zugesichert. In diesem Bundesbeitrag ist auch die Subvention für die Wege Nr. 24 und 25 mit einer Länge von ca. 1200 m enthalten; der entsprechende Anteil des Bundes beträgt ca. Fr. 15 840.-. Gegen diese Verfügung hat der Schweizer Heimatschutz am 9. November 1985 beim Eidgenössischen Volkswirtschaftsdepartement (EVD) eine Beschwerde eingereicht mit dem Antrag, die «Wege Nr. 24 und 25 baulich und rechtlich via Beitragsbedingungen wieder aufzuheben»; ferner sei festzustellen, dass die Beitragszusicherung nichtig sei wegen formungültiger Eröffnung. Das EVD ist auf die Beschwerde mit Entscheid vom 23. Dezember 1986 nicht eingetreten. Der Begründung ist zu entnehmen, dass es an einem eigenen und aktuellen Rechtsschutzinteresse mangle; abgesehen davon seien die Belange des Natur- und Heimatschutzes im kantonalen Verfahren zu berücksichtigen. C. Gegen diesen Entscheid hat der Schweizer Heimatschutz am 19. Januar 1987 beim Bundesrat eine Beschwerde eingereicht mit folgenden Anträgen: «1. Auf die Beschwerde des Schweizer Heimatschutzes sei einzutreten.</w:t>
      </w:r>
    </w:p>
    <w:p>
      <w:r>
        <w:rPr>
          <w:b/>
        </w:rPr>
        <w:t>E. 2</w:t>
      </w:r>
    </w:p>
    <w:p>
      <w:r>
        <w:t>Es seien Vorkehren zu treffen, damit künftig ähnliche Fragen der Melioration zusammen mit dem Bundesamt für Forstwesen und Landschaftsschutz und den schweizerischen Organisationen koordiniert behandelt und gesetzgemäss gelöst werden.</w:t>
      </w:r>
    </w:p>
    <w:p>
      <w:r>
        <w:rPr>
          <w:b/>
        </w:rPr>
        <w:t>E. 3</w:t>
      </w:r>
    </w:p>
    <w:p>
      <w:r>
        <w:t>von Bundesbehörden die Beschwerde an den Bundesrat zulässig ist, das Beschwerderecht auch gesamtschweizerischen Organisationen zu, die sich statutengemäss dem Natur- und Heimatschutz widmen. Voraussetzung ist indessen, dass die in Frage stehende Verfügung in Erfüllung einer Bundesaufgabe nach Art. 2 NHG ergangen ist. Dies ist hier der Fall, zählt doch die Gewährung von Beiträgen an Meliorationen zu den Bundesaufgaben (BGE 112 Ib 71 E. 2; s. oben Ziff. II. 1.b). b. Beschwerdeberechtigte Organisationen, die im Rechtsmittelverfahren Parteistellung haben, können von ihrem Beschwerderecht nur Gebrauch machen, wenn ihnen die anfechtbare Verfügung in geeigneter Weise zur Kenntnis gebracht wird. Für die beschwerdeberechtigten Organisationen beginnt die Rechtsmittelfrist erst mit der Möglichkeit der Kenntnisnahme zu laufen (Art. 20, 34, 36 VwVG; BGE 101 Ib 192, BGE 102 Ib 93, BGE 104 V 166 E. 3, BGE 106 V 97; Grisel, a.a.O., Bd. 2, S. 878; Gygi, a.a.O., S. 51). Die Form der Mitteilung hängt davon ab, ob die beschwerdeberechtigten Organisationen von vorneherein bekannt sind. Lassen sie sich ohne unverhältnismässigen Aufwand nicht vollzählig bestimmen, so ist die Verfügung durch Veröffentlichung in einem amtlichen Blatt zu eröffnen (Art. 36 Bst. c VwVG; Matter Fritz, Kommentar zum Umweltschutzgesetz, Zürich 1985, Art. 55, N 20, 21). Die Beschwerde ist daher gutzuheissen und das Eidgenössische Meliorationsamt anzuweisen, seine Verfügungen betreffend die Gewährung von Bundesbeiträgen an Meliorationen künftig in einem amtlichen Blatt zu eröffnen, soweit die Eröffnung nicht schriftlich möglich ist (Art. 34 Abs. 1., Art. 36 Bst. c VwVG). …</w:t>
      </w:r>
    </w:p>
    <w:p>
      <w:r>
        <w:rPr>
          <w:b/>
        </w:rPr>
        <w:t>E. 4</w:t>
      </w:r>
    </w:p>
    <w:p>
      <w:r>
        <w:t>Schweizerisches Bundesarchiv, Digitale Amtsdruckschriften Archives fédérales suisses, Publications officielles numérisées Archivio federale svizzero, Pubblicazioni ufficiali digitali JAAC 52.61 - Auszug aus einem Entscheid des Bundesrates vom 7. September 1988 [Datum korrigiert gemäss VPB 53/II S. 232] In Verwaltungspraxis der Bundesbehörden Dans Jurisprudence des autorités administratives de la Confédération In Giurisprudenza delle autorità amministrative della Confederazione Jahr 1988 Année Anno Band 52 Volume Volume Seite --- Page Pagina Ref. No 150 000 806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