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52.58 vom 30. August 1988</w:t>
      </w:r>
    </w:p>
    <w:p>
      <w:r>
        <w:t>Bundesverwaltung, 1988-08-30, DE</w:t>
      </w:r>
    </w:p>
    <w:p>
      <w:r>
        <w:rPr>
          <w:b/>
        </w:rPr>
        <w:t xml:space="preserve">Quelle: </w:t>
      </w:r>
      <w:r>
        <w:t>https://mcp.opencaselaw.ch/entscheid/ch_vb_JAAC_52.58__</w:t>
      </w:r>
    </w:p>
    <w:p>
      <w:r>
        <w:t>FR: CH_VB JAAC 52.58 du 30 août 1988</w:t>
      </w:r>
    </w:p>
    <w:p>
      <w:r>
        <w:t>IT: CH_VB JAAC 52.58 del 30 agosto 1988</w:t>
      </w:r>
    </w:p>
    <w:p>
      <w:pPr>
        <w:pStyle w:val="Heading2"/>
      </w:pPr>
      <w:r>
        <w:t>Erwägungen</w:t>
      </w:r>
    </w:p>
    <w:p>
      <w:r>
        <w:rPr>
          <w:b/>
        </w:rPr>
        <w:t>E. 1</w:t>
      </w:r>
    </w:p>
    <w:p>
      <w:r>
        <w:t>Nach Art. 128 Ziff. 1 OR verjähren grundsätzlich alle Forderungen für periodische Leistungen nach 5 Jahren.</w:t>
      </w:r>
    </w:p>
    <w:p>
      <w:r>
        <w:rPr>
          <w:b/>
        </w:rPr>
        <w:t>E. 2</w:t>
      </w:r>
    </w:p>
    <w:p>
      <w:r>
        <w:t>Wenn besondere objektive oder persönliche Umstände den Gläubiger hindern, seine Rechte zu verfolgen, wäre es stossend, die Verjährung eintreten zu lassen. Billigkeitsüberlegungen verlangen, dass in solchen 1</w:t>
      </w:r>
    </w:p>
    <w:p>
      <w:r>
        <w:t>Fällen die Verjährungsfrist stillsteht oder nicht zu laufen beginnt. Aus diesem Grunde zählt der Gesetzgeber in Art. 134 OR auf, welche Tatbestände zu berücksichtigen sind: Nach Abs. 1 Ziff. 6 sollen Forderungen nicht verjähren, solange sie nicht vor einem schweizerischen Gerichte geltend gemacht werden können. Aufgrund der Gerichtspraxis (BGE 90 II 435 ff.) muss der Gläubiger aus objektiven Kriterien, also von persönlichen Verhältnissen unabhängigen Umständen verhindert sein, seine Rechte geltend zu machen. Ein solcher Umstand ist der mangelnde Gerichtsstand zufolge ausländischen Wohnsitzes des Schuldners (Busher Eugen, Schweizerisches Obligationenrecht, Allg. Teil, Zürich 1979, S. 404).</w:t>
      </w:r>
    </w:p>
    <w:p>
      <w:r>
        <w:rPr>
          <w:b/>
        </w:rPr>
        <w:t>E. 3</w:t>
      </w:r>
    </w:p>
    <w:p>
      <w:r>
        <w:t>Im konkreten Falle ist jedoch keine Klage nötig, da bereits ein richterliches Urteil den Bestand der Forderung festhält. Es wäre jedoch stossend, wenn fehlende Vollstreckbarkeit fehlender Klagbarkeit nicht gleichgesetzt würde (vgl. von Tuhr Andreas / Escher Arnold, Allg. Teil des Schweiz. Obligationenrechts, Bd. II, 3. Aufl., Zürich 1974, S. 224, N. 101; Bucher, a.a.O., S. 403, N. 81a und darin zitierte Entscheide).</w:t>
      </w:r>
    </w:p>
    <w:p>
      <w:r>
        <w:rPr>
          <w:b/>
        </w:rPr>
        <w:t>E. 4</w:t>
      </w:r>
    </w:p>
    <w:p>
      <w:r>
        <w:t>Auch wenn der Schuldner hie und da in die Schweiz zurückkehren und allenfalls arrestierbare Gegenstände mitbringen würde, ändert dies an der Rechtslage nichts. Dem Gläubiger ist nämlich nicht zuzumuten, geradezu nach Arrestobjekten fahnden zu müssen (vgl. von Tuhr/Escher, a.a.O., S.224, N. 101).</w:t>
      </w:r>
    </w:p>
    <w:p>
      <w:r>
        <w:rPr>
          <w:b/>
        </w:rPr>
        <w:t>E. 5</w:t>
      </w:r>
    </w:p>
    <w:p>
      <w:r>
        <w:t>Zusammenfassend kann also festgehalten werden, dass die Forderung auf Unterhaltsbeiträge gegen einen säumigen, sich an einem unbekannten Orte im Ausland befindenden Vater nicht verjähren kann, solange gegen den Schuldner in der Schweiz weder geklagt noch betrieben werden kann. 2</w:t>
      </w:r>
    </w:p>
    <w:p>
      <w:r>
        <w:t>Schweizerisches Bundesarchiv, Digitale Amtsdruckschriften Archives fédérales suisses, Publications officielles numérisées Archivio federale svizzero, Pubblicazioni ufficiali digitali JAAC 52.58 - Bundesamt für Justiz, 30. August 1988 In Verwaltungspraxis der Bundesbehörden Dans Jurisprudence des autorités administratives de la Confédération In Giurisprudenza delle autorità amministrative della Confederazione Jahr 1988 Année Anno Band 52 Volume Volume Seite --- Page Pagina Ref. No 150 000 794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