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52.46 vom 29. Juni 1988</w:t>
      </w:r>
    </w:p>
    <w:p>
      <w:r>
        <w:t>Bundesverwaltung, 1988-06-29, DE</w:t>
      </w:r>
    </w:p>
    <w:p>
      <w:r>
        <w:rPr>
          <w:b/>
        </w:rPr>
        <w:t xml:space="preserve">Quelle: </w:t>
      </w:r>
      <w:r>
        <w:t>https://mcp.opencaselaw.ch/entscheid/ch_vb_JAAC_52.46__</w:t>
      </w:r>
    </w:p>
    <w:p>
      <w:r>
        <w:t>FR: CH_VB JAAC 52.46 du 29 juin 1988</w:t>
      </w:r>
    </w:p>
    <w:p>
      <w:r>
        <w:t>IT: CH_VB JAAC 52.46 del 29 giugno 1988</w:t>
      </w:r>
    </w:p>
    <w:p>
      <w:pPr>
        <w:pStyle w:val="Heading2"/>
      </w:pPr>
      <w:r>
        <w:t>Erwägungen</w:t>
      </w:r>
    </w:p>
    <w:p>
      <w:r>
        <w:rPr>
          <w:b/>
        </w:rPr>
        <w:t>E. 2</w:t>
      </w:r>
    </w:p>
    <w:p>
      <w:r>
        <w:t>… Im Ausland wohnende Schweizer sind in Friedenszeiten vom Instruktionsdienst, von der Teilnahme an der Ausrüstungsinspektion und von der Erfüllung der ausserdienstlichen Schiesspflicht befreit (Art. 1 Abs. 1 des BB vom 8. Dezember 1961 über den Militärdienst der Auslandschweizer und der Doppelbürger, im folgenden BB, SR 519.3). Melden sich aber Auslandschweizer freiwillig zum Bestehen der Rekrutenschule in der Schweiz, so sind sie für die Aushebung und zur Rekrutenschule, zwischenstaatliche Abmachungen 1</w:t>
      </w:r>
    </w:p>
    <w:p>
      <w:r>
        <w:t>vorbehalten, nur dann aufzubieten, wenn sie nicht auch das Bürgerrecht des Wohnsitzstaates besitzen, wenn sie eine der schweizerischen Landessprachen beherrschen und wenn sie nicht wegen einer schweren strafbaren Handlung verurteilt worden sind (Art. 1 des BRB vom 17. November 1971 über den Militärdienst der Auslandschweizer und Doppelbürger, im folgenden BRB, SR 511.13). Schweizerbürger, die nachweisen, dass sie das Bürgerrecht eines fremden Staates besitzen (Doppelbürger) und in der Armee dieses Staates Militärdienst geleistet haben, sind in der Regel den Nichteingeteilten zuzuweisen. Ergibt sich später, dass ein solcher Schweizerbürger das Bürgerrecht des Staates, in dessen Armee er Militärdienst geleistet hat, nicht oder nicht mehr besitzt, ist er wieder voll wehrpflichtig (Art. 3 BB, Art. 9 BRB; vgl. dazu auch Pilgrim Jürg, Allgemeine Wehrpflicht und Glaubens- und Gewissensfreiheit, Diss. Zürich 1978, S. 35 ff.).</w:t>
      </w:r>
    </w:p>
    <w:p>
      <w:r>
        <w:rPr>
          <w:b/>
        </w:rPr>
        <w:t>E. 3</w:t>
      </w:r>
    </w:p>
    <w:p>
      <w:r>
        <w:t>Schweizerisches Bundesarchiv, Digitale Amtsdruckschriften Archives fédérales suisses, Publications officielles numérisées Archivio federale svizzero, Pubblicazioni ufficiali digitali JAAC 52.46 - Auszug aus einem Entscheid des Bundesrates vom 29. Juni 1988 In Verwaltungspraxis der Bundesbehörden Dans Jurisprudence des autorités administratives de la Confédération In Giurisprudenza delle autorità amministrative della Confederazione Jahr 1988 Année Anno Band 52 Volume Volume Seite --- Page Pagina Ref. No 150 000 755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